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E2143">
      <w:pPr>
        <w:rPr>
          <w:rFonts w:ascii="Times New Roman" w:hAnsi="Times New Roman" w:eastAsia="微软雅黑" w:cs="Times New Roman"/>
          <w:color w:val="auto"/>
          <w:sz w:val="44"/>
          <w:szCs w:val="44"/>
          <w:u w:val="none" w:color="auto"/>
          <w:lang w:val="en-US" w:eastAsia="zh-CN" w:bidi="ar-SA"/>
        </w:rPr>
      </w:pPr>
      <w:bookmarkStart w:id="16" w:name="_GoBack"/>
      <w:bookmarkEnd w:id="16"/>
    </w:p>
    <w:p w14:paraId="61FCF568">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0"/>
        <w:rPr>
          <w:rFonts w:ascii="Times New Roman" w:hAnsi="Times New Roman" w:eastAsia="方正小标宋简体" w:cs="Times New Roman"/>
          <w:color w:val="auto"/>
          <w:sz w:val="44"/>
          <w:szCs w:val="44"/>
          <w:highlight w:val="none"/>
          <w:u w:val="none" w:color="auto"/>
          <w:lang w:val="en-US" w:eastAsia="zh-CN" w:bidi="ar-SA"/>
        </w:rPr>
      </w:pPr>
      <w:r>
        <w:rPr>
          <w:rFonts w:ascii="Times New Roman" w:hAnsi="Times New Roman" w:eastAsia="方正小标宋简体" w:cs="Times New Roman"/>
          <w:color w:val="auto"/>
          <w:sz w:val="44"/>
          <w:szCs w:val="44"/>
          <w:highlight w:val="none"/>
          <w:u w:val="none" w:color="auto"/>
          <w:lang w:val="en-US" w:eastAsia="zh-CN" w:bidi="ar-SA"/>
        </w:rPr>
        <w:t>黑龙江省高校院所科技成果转化</w:t>
      </w:r>
    </w:p>
    <w:p w14:paraId="13FD441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0"/>
        <w:rPr>
          <w:rFonts w:ascii="Times New Roman" w:hAnsi="Times New Roman" w:eastAsia="方正小标宋简体" w:cs="Times New Roman"/>
          <w:color w:val="auto"/>
          <w:sz w:val="32"/>
          <w:szCs w:val="32"/>
          <w:u w:val="none" w:color="auto"/>
          <w:lang w:val="en-US" w:eastAsia="zh-CN" w:bidi="ar-SA"/>
        </w:rPr>
      </w:pPr>
      <w:r>
        <w:rPr>
          <w:rFonts w:ascii="Times New Roman" w:hAnsi="Times New Roman" w:eastAsia="方正小标宋简体" w:cs="Times New Roman"/>
          <w:color w:val="auto"/>
          <w:sz w:val="44"/>
          <w:szCs w:val="44"/>
          <w:highlight w:val="none"/>
          <w:u w:val="none" w:color="auto"/>
          <w:lang w:val="en-US" w:eastAsia="zh-CN" w:bidi="ar-SA"/>
        </w:rPr>
        <w:t>体制机制改革攻坚方案</w:t>
      </w:r>
    </w:p>
    <w:p w14:paraId="137F72A1">
      <w:pPr>
        <w:keepNext w:val="0"/>
        <w:keepLines w:val="0"/>
        <w:pageBreakBefore w:val="0"/>
        <w:widowControl w:val="0"/>
        <w:kinsoku/>
        <w:wordWrap/>
        <w:overflowPunct/>
        <w:topLinePunct w:val="0"/>
        <w:autoSpaceDE/>
        <w:bidi w:val="0"/>
        <w:adjustRightInd/>
        <w:snapToGrid/>
        <w:spacing w:line="560" w:lineRule="exact"/>
        <w:textAlignment w:val="auto"/>
        <w:rPr>
          <w:rFonts w:ascii="Times New Roman" w:hAnsi="Times New Roman" w:cs="Times New Roman"/>
          <w:color w:val="auto"/>
          <w:u w:val="none" w:color="auto"/>
          <w:lang w:bidi="ar-SA"/>
        </w:rPr>
      </w:pPr>
    </w:p>
    <w:p w14:paraId="66196D52">
      <w:pPr>
        <w:pStyle w:val="13"/>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highlight w:val="none"/>
          <w:u w:val="none" w:color="auto"/>
          <w:lang w:bidi="ar-SA"/>
        </w:rPr>
      </w:pPr>
      <w:bookmarkStart w:id="0" w:name="_Toc2455"/>
      <w:r>
        <w:rPr>
          <w:rFonts w:hint="eastAsia" w:ascii="仿宋_GB2312" w:eastAsia="仿宋_GB2312" w:cs="Times New Roman"/>
          <w:color w:val="auto"/>
          <w:sz w:val="32"/>
          <w:szCs w:val="32"/>
          <w:highlight w:val="none"/>
          <w:u w:val="none" w:color="auto"/>
          <w:lang w:bidi="ar-SA"/>
        </w:rPr>
        <w:t>为深入贯彻落实习近平总书记在</w:t>
      </w:r>
      <w:r>
        <w:rPr>
          <w:rFonts w:hint="eastAsia" w:ascii="仿宋_GB2312" w:eastAsia="仿宋_GB2312" w:cs="Times New Roman"/>
          <w:color w:val="auto"/>
          <w:sz w:val="32"/>
          <w:szCs w:val="32"/>
          <w:highlight w:val="none"/>
          <w:u w:val="none" w:color="auto"/>
          <w:lang w:val="en-US" w:eastAsia="zh-CN" w:bidi="ar-SA"/>
        </w:rPr>
        <w:t>我</w:t>
      </w:r>
      <w:r>
        <w:rPr>
          <w:rFonts w:hint="eastAsia" w:ascii="仿宋_GB2312" w:eastAsia="仿宋_GB2312" w:cs="Times New Roman"/>
          <w:color w:val="auto"/>
          <w:sz w:val="32"/>
          <w:szCs w:val="32"/>
          <w:highlight w:val="none"/>
          <w:u w:val="none" w:color="auto"/>
          <w:lang w:bidi="ar-SA"/>
        </w:rPr>
        <w:t>省调研考察时提出的“提高科技成果落地转化率”重要讲话重要指示精神，</w:t>
      </w:r>
      <w:r>
        <w:rPr>
          <w:rFonts w:hint="eastAsia" w:ascii="仿宋_GB2312" w:eastAsia="仿宋_GB2312" w:cs="Times New Roman"/>
          <w:color w:val="auto"/>
          <w:sz w:val="32"/>
          <w:szCs w:val="32"/>
          <w:highlight w:val="none"/>
          <w:u w:val="none" w:color="auto"/>
          <w:lang w:val="en-US" w:eastAsia="zh-CN" w:bidi="ar-SA"/>
        </w:rPr>
        <w:t>按照</w:t>
      </w:r>
      <w:r>
        <w:rPr>
          <w:rFonts w:hint="eastAsia" w:ascii="仿宋_GB2312" w:eastAsia="仿宋_GB2312" w:cs="Times New Roman"/>
          <w:color w:val="auto"/>
          <w:sz w:val="32"/>
          <w:szCs w:val="32"/>
          <w:highlight w:val="none"/>
          <w:u w:val="none" w:color="auto"/>
          <w:lang w:eastAsia="zh-CN" w:bidi="ar-SA"/>
        </w:rPr>
        <w:t>《黑龙江省科技成果产业化突破年行动方案》</w:t>
      </w:r>
      <w:r>
        <w:rPr>
          <w:rFonts w:hint="eastAsia" w:ascii="仿宋_GB2312" w:eastAsia="仿宋_GB2312" w:cs="Times New Roman"/>
          <w:color w:val="auto"/>
          <w:sz w:val="32"/>
          <w:szCs w:val="32"/>
          <w:highlight w:val="none"/>
          <w:u w:val="none" w:color="auto"/>
          <w:lang w:val="en-US" w:eastAsia="zh-CN" w:bidi="ar-SA"/>
        </w:rPr>
        <w:t>要求，</w:t>
      </w:r>
      <w:r>
        <w:rPr>
          <w:rFonts w:hint="eastAsia" w:ascii="仿宋_GB2312" w:eastAsia="仿宋_GB2312" w:cs="Times New Roman"/>
          <w:color w:val="auto"/>
          <w:sz w:val="32"/>
          <w:szCs w:val="32"/>
          <w:highlight w:val="none"/>
          <w:u w:val="none" w:color="auto"/>
          <w:lang w:bidi="ar-SA"/>
        </w:rPr>
        <w:t>着力破除制约科技成果转化</w:t>
      </w:r>
      <w:r>
        <w:rPr>
          <w:rFonts w:hint="eastAsia" w:ascii="仿宋_GB2312" w:eastAsia="仿宋_GB2312" w:cs="Times New Roman"/>
          <w:color w:val="auto"/>
          <w:sz w:val="32"/>
          <w:szCs w:val="32"/>
          <w:highlight w:val="none"/>
          <w:u w:val="none" w:color="auto"/>
          <w:lang w:val="en-US" w:eastAsia="zh-CN" w:bidi="ar-SA"/>
        </w:rPr>
        <w:t>堵点卡点问题</w:t>
      </w:r>
      <w:r>
        <w:rPr>
          <w:rFonts w:hint="eastAsia" w:ascii="仿宋_GB2312" w:eastAsia="仿宋_GB2312" w:cs="Times New Roman"/>
          <w:color w:val="auto"/>
          <w:sz w:val="32"/>
          <w:szCs w:val="32"/>
          <w:highlight w:val="none"/>
          <w:u w:val="none" w:color="auto"/>
          <w:lang w:bidi="ar-SA"/>
        </w:rPr>
        <w:t>，</w:t>
      </w:r>
      <w:r>
        <w:rPr>
          <w:rFonts w:hint="eastAsia" w:ascii="仿宋_GB2312" w:eastAsia="仿宋_GB2312" w:cs="Times New Roman"/>
          <w:color w:val="auto"/>
          <w:sz w:val="32"/>
          <w:szCs w:val="32"/>
          <w:highlight w:val="none"/>
          <w:u w:val="none" w:color="auto"/>
          <w:lang w:val="en-US" w:eastAsia="zh-CN" w:bidi="ar-SA"/>
        </w:rPr>
        <w:t>激发</w:t>
      </w:r>
      <w:r>
        <w:rPr>
          <w:rFonts w:ascii="Times New Roman" w:hAnsi="Times New Roman" w:eastAsia="仿宋_GB2312" w:cs="Times New Roman"/>
          <w:color w:val="auto"/>
          <w:sz w:val="32"/>
          <w:szCs w:val="32"/>
          <w:highlight w:val="none"/>
          <w:u w:val="none" w:color="auto"/>
          <w:lang w:val="en-US" w:eastAsia="zh-CN" w:bidi="ar-SA"/>
        </w:rPr>
        <w:t>我省高校院所内生动力</w:t>
      </w:r>
      <w:r>
        <w:rPr>
          <w:rFonts w:ascii="Times New Roman" w:hAnsi="Times New Roman" w:eastAsia="仿宋_GB2312" w:cs="Times New Roman"/>
          <w:color w:val="auto"/>
          <w:sz w:val="32"/>
          <w:szCs w:val="32"/>
          <w:highlight w:val="none"/>
          <w:u w:val="none" w:color="auto"/>
          <w:lang w:eastAsia="zh-CN" w:bidi="ar-SA"/>
        </w:rPr>
        <w:t>，</w:t>
      </w:r>
      <w:r>
        <w:rPr>
          <w:rFonts w:ascii="Times New Roman" w:hAnsi="Times New Roman" w:eastAsia="仿宋_GB2312" w:cs="Times New Roman"/>
          <w:color w:val="auto"/>
          <w:sz w:val="32"/>
          <w:szCs w:val="32"/>
          <w:highlight w:val="none"/>
          <w:u w:val="none" w:color="auto"/>
          <w:lang w:bidi="ar-SA"/>
        </w:rPr>
        <w:t>制定本</w:t>
      </w:r>
      <w:r>
        <w:rPr>
          <w:rFonts w:ascii="Times New Roman" w:hAnsi="Times New Roman" w:eastAsia="仿宋_GB2312" w:cs="Times New Roman"/>
          <w:color w:val="auto"/>
          <w:sz w:val="32"/>
          <w:szCs w:val="32"/>
          <w:highlight w:val="none"/>
          <w:u w:val="none" w:color="auto"/>
          <w:lang w:val="en-US" w:eastAsia="zh-CN" w:bidi="ar-SA"/>
        </w:rPr>
        <w:t>方案</w:t>
      </w:r>
      <w:r>
        <w:rPr>
          <w:rFonts w:ascii="Times New Roman" w:hAnsi="Times New Roman" w:eastAsia="仿宋_GB2312" w:cs="Times New Roman"/>
          <w:color w:val="auto"/>
          <w:sz w:val="32"/>
          <w:szCs w:val="32"/>
          <w:highlight w:val="none"/>
          <w:u w:val="none" w:color="auto"/>
          <w:lang w:bidi="ar-SA"/>
        </w:rPr>
        <w:t>。</w:t>
      </w:r>
    </w:p>
    <w:p w14:paraId="06794576">
      <w:pPr>
        <w:pStyle w:val="13"/>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outlineLvl w:val="0"/>
        <w:rPr>
          <w:rFonts w:ascii="Times New Roman" w:hAnsi="Times New Roman" w:eastAsia="黑体" w:cs="Times New Roman"/>
          <w:color w:val="auto"/>
          <w:sz w:val="32"/>
          <w:szCs w:val="32"/>
          <w:u w:val="none" w:color="auto"/>
          <w:lang w:bidi="ar-SA"/>
        </w:rPr>
      </w:pPr>
      <w:r>
        <w:rPr>
          <w:rFonts w:ascii="Times New Roman" w:hAnsi="Times New Roman" w:eastAsia="黑体" w:cs="Times New Roman"/>
          <w:color w:val="auto"/>
          <w:sz w:val="32"/>
          <w:szCs w:val="32"/>
          <w:u w:val="none" w:color="auto"/>
          <w:lang w:bidi="ar-SA"/>
        </w:rPr>
        <w:t>一、总体要求</w:t>
      </w:r>
      <w:bookmarkEnd w:id="0"/>
    </w:p>
    <w:p w14:paraId="07631AB9">
      <w:pPr>
        <w:pStyle w:val="13"/>
        <w:keepNext w:val="0"/>
        <w:keepLines w:val="0"/>
        <w:pageBreakBefore w:val="0"/>
        <w:widowControl w:val="0"/>
        <w:kinsoku/>
        <w:wordWrap/>
        <w:overflowPunct/>
        <w:topLinePunct w:val="0"/>
        <w:autoSpaceDE/>
        <w:bidi w:val="0"/>
        <w:adjustRightInd/>
        <w:snapToGrid/>
        <w:spacing w:line="560" w:lineRule="exact"/>
        <w:ind w:left="0" w:firstLine="640" w:firstLineChars="200"/>
        <w:jc w:val="both"/>
        <w:textAlignment w:val="auto"/>
        <w:rPr>
          <w:rFonts w:hint="eastAsia" w:ascii="仿宋_GB2312" w:eastAsia="仿宋_GB2312" w:cs="Times New Roman"/>
          <w:color w:val="auto"/>
          <w:sz w:val="32"/>
          <w:szCs w:val="32"/>
          <w:u w:val="none" w:color="auto"/>
          <w:lang w:bidi="ar-SA"/>
        </w:rPr>
      </w:pPr>
      <w:r>
        <w:rPr>
          <w:rFonts w:hint="eastAsia" w:ascii="仿宋_GB2312" w:eastAsia="仿宋_GB2312" w:cs="Times New Roman"/>
          <w:color w:val="auto"/>
          <w:kern w:val="0"/>
          <w:sz w:val="32"/>
          <w:szCs w:val="32"/>
          <w:u w:val="none" w:color="auto"/>
          <w:lang w:bidi="ar-SA"/>
        </w:rPr>
        <w:t>坚持以习近平新时代中国特色社会主义思想为指导，深入贯彻落实党的二十大和二十届二中、三中全会精神，全面贯彻落实</w:t>
      </w:r>
      <w:r>
        <w:rPr>
          <w:rFonts w:hint="eastAsia" w:ascii="仿宋_GB2312" w:eastAsia="仿宋_GB2312" w:cs="Times New Roman"/>
          <w:color w:val="auto"/>
          <w:kern w:val="0"/>
          <w:sz w:val="32"/>
          <w:szCs w:val="32"/>
          <w:u w:val="none" w:color="auto"/>
          <w:lang w:val="en-US" w:eastAsia="zh-CN" w:bidi="ar-SA"/>
        </w:rPr>
        <w:t>习近平</w:t>
      </w:r>
      <w:r>
        <w:rPr>
          <w:rFonts w:hint="eastAsia" w:ascii="仿宋_GB2312" w:eastAsia="仿宋_GB2312" w:cs="Times New Roman"/>
          <w:color w:val="auto"/>
          <w:kern w:val="0"/>
          <w:sz w:val="32"/>
          <w:szCs w:val="32"/>
          <w:u w:val="none" w:color="auto"/>
          <w:lang w:bidi="ar-SA"/>
        </w:rPr>
        <w:t>总书记关于科技创新重要论述</w:t>
      </w:r>
      <w:r>
        <w:rPr>
          <w:rFonts w:hint="eastAsia" w:ascii="仿宋_GB2312" w:eastAsia="仿宋_GB2312" w:cs="Times New Roman"/>
          <w:color w:val="auto"/>
          <w:kern w:val="0"/>
          <w:sz w:val="32"/>
          <w:szCs w:val="32"/>
          <w:u w:val="none" w:color="auto"/>
          <w:lang w:val="en-US" w:eastAsia="zh-CN" w:bidi="ar-SA"/>
        </w:rPr>
        <w:t>和</w:t>
      </w:r>
      <w:r>
        <w:rPr>
          <w:rFonts w:hint="eastAsia" w:ascii="仿宋_GB2312" w:eastAsia="仿宋_GB2312" w:cs="Times New Roman"/>
          <w:color w:val="auto"/>
          <w:kern w:val="0"/>
          <w:sz w:val="32"/>
          <w:szCs w:val="32"/>
          <w:u w:val="none" w:color="auto"/>
          <w:lang w:bidi="ar-SA"/>
        </w:rPr>
        <w:t>关于黑龙江的重要讲话重要指示精神，</w:t>
      </w:r>
      <w:r>
        <w:rPr>
          <w:rFonts w:hint="eastAsia" w:ascii="仿宋_GB2312" w:eastAsia="仿宋_GB2312" w:cs="Times New Roman"/>
          <w:color w:val="auto"/>
          <w:sz w:val="32"/>
          <w:szCs w:val="32"/>
          <w:u w:val="none" w:color="auto"/>
          <w:lang w:val="en-US" w:eastAsia="zh-CN" w:bidi="ar-SA"/>
        </w:rPr>
        <w:t>落实</w:t>
      </w:r>
      <w:r>
        <w:rPr>
          <w:rFonts w:hint="eastAsia" w:ascii="仿宋_GB2312" w:eastAsia="仿宋_GB2312" w:cs="Times New Roman"/>
          <w:color w:val="auto"/>
          <w:sz w:val="32"/>
          <w:szCs w:val="32"/>
          <w:u w:val="none" w:color="auto"/>
          <w:lang w:bidi="ar-SA"/>
        </w:rPr>
        <w:t>省委、省政府</w:t>
      </w:r>
      <w:r>
        <w:rPr>
          <w:rFonts w:hint="eastAsia" w:ascii="仿宋_GB2312" w:eastAsia="仿宋_GB2312" w:cs="Times New Roman"/>
          <w:color w:val="auto"/>
          <w:sz w:val="32"/>
          <w:szCs w:val="32"/>
          <w:u w:val="none" w:color="auto"/>
          <w:lang w:val="en-US" w:eastAsia="zh-CN" w:bidi="ar-SA"/>
        </w:rPr>
        <w:t>工作</w:t>
      </w:r>
      <w:r>
        <w:rPr>
          <w:rFonts w:hint="eastAsia" w:ascii="仿宋_GB2312" w:eastAsia="仿宋_GB2312" w:cs="Times New Roman"/>
          <w:color w:val="auto"/>
          <w:sz w:val="32"/>
          <w:szCs w:val="32"/>
          <w:u w:val="none" w:color="auto"/>
          <w:lang w:bidi="ar-SA"/>
        </w:rPr>
        <w:t>部署，树立科技成果只有转化才能真正实现创新价值、不转化是最大损失的理念，</w:t>
      </w:r>
      <w:r>
        <w:rPr>
          <w:rFonts w:hint="eastAsia" w:ascii="仿宋_GB2312" w:eastAsia="仿宋_GB2312" w:cs="Times New Roman"/>
          <w:color w:val="auto"/>
          <w:sz w:val="32"/>
          <w:szCs w:val="32"/>
          <w:u w:val="none" w:color="auto"/>
          <w:lang w:val="en-US" w:eastAsia="zh-CN" w:bidi="ar-SA"/>
        </w:rPr>
        <w:t>大胆</w:t>
      </w:r>
      <w:r>
        <w:rPr>
          <w:rFonts w:hint="eastAsia" w:ascii="仿宋_GB2312" w:eastAsia="仿宋_GB2312" w:cs="Times New Roman"/>
          <w:color w:val="auto"/>
          <w:sz w:val="32"/>
          <w:szCs w:val="32"/>
          <w:u w:val="none" w:color="auto"/>
          <w:lang w:bidi="ar-SA"/>
        </w:rPr>
        <w:t>创新促进科技成果转化的机制和模式，</w:t>
      </w:r>
      <w:r>
        <w:rPr>
          <w:rFonts w:hint="eastAsia" w:ascii="仿宋_GB2312" w:eastAsia="仿宋_GB2312" w:cs="Times New Roman"/>
          <w:color w:val="auto"/>
          <w:sz w:val="32"/>
          <w:szCs w:val="32"/>
          <w:u w:val="none" w:color="auto"/>
          <w:lang w:val="en-US" w:eastAsia="zh-CN" w:bidi="ar-SA"/>
        </w:rPr>
        <w:t>明晰规则流程，规范转化途径，加强绩效激励，让科研人员“名利双收”，为从事科研和成果转化的人员解除思想顾虑、切实松绑减负，</w:t>
      </w:r>
      <w:r>
        <w:rPr>
          <w:rFonts w:hint="eastAsia" w:ascii="仿宋_GB2312" w:eastAsia="仿宋_GB2312" w:cs="Times New Roman"/>
          <w:sz w:val="32"/>
          <w:szCs w:val="32"/>
          <w:u w:val="none" w:color="auto"/>
          <w:lang w:bidi="ar-SA"/>
        </w:rPr>
        <w:t>把科技成果转化为实实在在的生产力，</w:t>
      </w:r>
      <w:r>
        <w:rPr>
          <w:rFonts w:hint="eastAsia" w:ascii="仿宋_GB2312" w:eastAsia="仿宋_GB2312" w:cs="Times New Roman"/>
          <w:color w:val="auto"/>
          <w:sz w:val="32"/>
          <w:szCs w:val="32"/>
          <w:u w:val="none" w:color="auto"/>
          <w:lang w:val="en-US" w:eastAsia="zh-CN" w:bidi="ar-SA"/>
        </w:rPr>
        <w:t>为我省经济社会高质量发展提供新动能、新引擎。</w:t>
      </w:r>
    </w:p>
    <w:p w14:paraId="6D2BE788">
      <w:pPr>
        <w:pStyle w:val="13"/>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eastAsia" w:ascii="仿宋_GB2312" w:eastAsia="仿宋_GB2312" w:cs="Times New Roman"/>
          <w:color w:val="auto"/>
          <w:sz w:val="32"/>
          <w:szCs w:val="32"/>
          <w:u w:val="none" w:color="auto"/>
          <w:lang w:val="en-US" w:eastAsia="zh-CN" w:bidi="ar-SA"/>
        </w:rPr>
      </w:pPr>
      <w:r>
        <w:rPr>
          <w:rFonts w:hint="eastAsia" w:ascii="仿宋_GB2312" w:eastAsia="仿宋_GB2312" w:cs="Times New Roman"/>
          <w:color w:val="auto"/>
          <w:sz w:val="32"/>
          <w:szCs w:val="32"/>
          <w:highlight w:val="none"/>
          <w:u w:val="none" w:color="auto"/>
          <w:lang w:val="en-US" w:eastAsia="zh-CN" w:bidi="ar-SA"/>
        </w:rPr>
        <w:t>在我省有科研活动的高校院所，以及省内其他</w:t>
      </w:r>
      <w:r>
        <w:rPr>
          <w:rFonts w:hint="eastAsia" w:ascii="仿宋_GB2312" w:eastAsia="仿宋_GB2312" w:cs="Times New Roman"/>
          <w:color w:val="auto"/>
          <w:sz w:val="32"/>
          <w:szCs w:val="32"/>
          <w:highlight w:val="none"/>
          <w:u w:val="none" w:color="auto"/>
          <w:lang w:bidi="ar-SA"/>
        </w:rPr>
        <w:t>改革意愿强烈、</w:t>
      </w:r>
      <w:r>
        <w:rPr>
          <w:rFonts w:hint="eastAsia" w:ascii="仿宋_GB2312" w:eastAsia="仿宋_GB2312" w:cs="Times New Roman"/>
          <w:color w:val="auto"/>
          <w:sz w:val="32"/>
          <w:szCs w:val="32"/>
          <w:highlight w:val="none"/>
          <w:u w:val="none" w:color="auto"/>
          <w:lang w:val="en-US" w:eastAsia="zh-CN" w:bidi="ar-SA"/>
        </w:rPr>
        <w:t>成果</w:t>
      </w:r>
      <w:r>
        <w:rPr>
          <w:rFonts w:hint="eastAsia" w:ascii="仿宋_GB2312" w:eastAsia="仿宋_GB2312" w:cs="Times New Roman"/>
          <w:color w:val="auto"/>
          <w:sz w:val="32"/>
          <w:szCs w:val="32"/>
          <w:highlight w:val="none"/>
          <w:u w:val="none" w:color="auto"/>
          <w:lang w:bidi="ar-SA"/>
        </w:rPr>
        <w:t>转化机制</w:t>
      </w:r>
      <w:r>
        <w:rPr>
          <w:rFonts w:hint="eastAsia" w:ascii="仿宋_GB2312" w:eastAsia="仿宋_GB2312" w:cs="Times New Roman"/>
          <w:color w:val="auto"/>
          <w:sz w:val="32"/>
          <w:szCs w:val="32"/>
          <w:highlight w:val="none"/>
          <w:u w:val="none" w:color="auto"/>
          <w:lang w:val="en-US" w:eastAsia="zh-CN" w:bidi="ar-SA"/>
        </w:rPr>
        <w:t>初步</w:t>
      </w:r>
      <w:r>
        <w:rPr>
          <w:rFonts w:hint="eastAsia" w:ascii="仿宋_GB2312" w:eastAsia="仿宋_GB2312" w:cs="Times New Roman"/>
          <w:color w:val="auto"/>
          <w:sz w:val="32"/>
          <w:szCs w:val="32"/>
          <w:highlight w:val="none"/>
          <w:u w:val="none" w:color="auto"/>
          <w:lang w:bidi="ar-SA"/>
        </w:rPr>
        <w:t>完备、科技成果转化</w:t>
      </w:r>
      <w:r>
        <w:rPr>
          <w:rFonts w:hint="eastAsia" w:ascii="仿宋_GB2312" w:eastAsia="仿宋_GB2312" w:cs="Times New Roman"/>
          <w:color w:val="auto"/>
          <w:sz w:val="32"/>
          <w:szCs w:val="32"/>
          <w:highlight w:val="none"/>
          <w:u w:val="none" w:color="auto"/>
          <w:lang w:val="en-US" w:eastAsia="zh-CN" w:bidi="ar-SA"/>
        </w:rPr>
        <w:t>潜力较大</w:t>
      </w:r>
      <w:r>
        <w:rPr>
          <w:rFonts w:hint="eastAsia" w:ascii="仿宋_GB2312" w:eastAsia="仿宋_GB2312" w:cs="Times New Roman"/>
          <w:color w:val="auto"/>
          <w:sz w:val="32"/>
          <w:szCs w:val="32"/>
          <w:highlight w:val="none"/>
          <w:u w:val="none" w:color="auto"/>
          <w:lang w:bidi="ar-SA"/>
        </w:rPr>
        <w:t>的</w:t>
      </w:r>
      <w:r>
        <w:rPr>
          <w:rFonts w:hint="eastAsia" w:ascii="仿宋_GB2312" w:eastAsia="仿宋_GB2312" w:cs="Times New Roman"/>
          <w:color w:val="auto"/>
          <w:sz w:val="32"/>
          <w:szCs w:val="32"/>
          <w:highlight w:val="none"/>
          <w:u w:val="none" w:color="auto"/>
          <w:lang w:val="en-US" w:eastAsia="zh-CN" w:bidi="ar-SA"/>
        </w:rPr>
        <w:t>高校院所开展改革攻坚工作。</w:t>
      </w:r>
      <w:r>
        <w:rPr>
          <w:rFonts w:hint="eastAsia" w:ascii="仿宋_GB2312" w:eastAsia="仿宋_GB2312" w:cs="Times New Roman"/>
          <w:color w:val="auto"/>
          <w:sz w:val="32"/>
          <w:szCs w:val="32"/>
          <w:u w:val="none" w:color="auto"/>
          <w:lang w:val="en-US" w:eastAsia="zh-CN" w:bidi="ar-SA"/>
        </w:rPr>
        <w:t>2025年，</w:t>
      </w:r>
      <w:r>
        <w:rPr>
          <w:rFonts w:hint="eastAsia" w:ascii="仿宋_GB2312" w:eastAsia="仿宋_GB2312" w:cs="Times New Roman"/>
          <w:sz w:val="32"/>
          <w:szCs w:val="32"/>
          <w:u w:val="none" w:color="auto"/>
          <w:lang w:bidi="ar-SA"/>
        </w:rPr>
        <w:t>推动</w:t>
      </w:r>
      <w:r>
        <w:rPr>
          <w:rFonts w:hint="eastAsia" w:ascii="仿宋_GB2312" w:eastAsia="仿宋_GB2312" w:cs="Times New Roman"/>
          <w:sz w:val="32"/>
          <w:szCs w:val="32"/>
          <w:u w:val="none" w:color="auto"/>
          <w:lang w:val="en-US" w:eastAsia="zh-CN" w:bidi="ar-SA"/>
        </w:rPr>
        <w:t>我省</w:t>
      </w:r>
      <w:r>
        <w:rPr>
          <w:rFonts w:hint="eastAsia" w:ascii="仿宋_GB2312" w:eastAsia="仿宋_GB2312" w:cs="Times New Roman"/>
          <w:sz w:val="32"/>
          <w:szCs w:val="32"/>
          <w:u w:val="none" w:color="auto"/>
          <w:lang w:bidi="ar-SA"/>
        </w:rPr>
        <w:t>高校院所建立成果转化管理工作制度体系、职务科技成果单列管理制度、“约定收益+全部赋权”制度、“先使用后付费”制度，激发高校院所成果转化内生动力，职务科技成果全部赋权200项以上</w:t>
      </w:r>
      <w:r>
        <w:rPr>
          <w:rFonts w:hint="eastAsia" w:ascii="仿宋_GB2312" w:eastAsia="仿宋_GB2312" w:cs="Times New Roman"/>
          <w:sz w:val="32"/>
          <w:szCs w:val="32"/>
          <w:u w:val="none" w:color="auto"/>
          <w:lang w:eastAsia="zh-CN" w:bidi="ar-SA"/>
        </w:rPr>
        <w:t>，</w:t>
      </w:r>
      <w:r>
        <w:rPr>
          <w:rFonts w:hint="eastAsia" w:ascii="仿宋_GB2312" w:eastAsia="仿宋_GB2312" w:cs="Times New Roman"/>
          <w:color w:val="auto"/>
          <w:sz w:val="32"/>
          <w:szCs w:val="32"/>
          <w:u w:val="none" w:color="auto"/>
          <w:lang w:val="en-US" w:eastAsia="zh-CN" w:bidi="ar-SA"/>
        </w:rPr>
        <w:t>成果转化</w:t>
      </w:r>
      <w:r>
        <w:rPr>
          <w:rFonts w:hint="eastAsia" w:ascii="仿宋_GB2312" w:eastAsia="仿宋_GB2312" w:cs="Times New Roman"/>
          <w:color w:val="auto"/>
          <w:kern w:val="0"/>
          <w:sz w:val="32"/>
          <w:szCs w:val="32"/>
          <w:u w:val="none" w:color="auto"/>
          <w:lang w:val="en-US" w:eastAsia="zh-CN" w:bidi="ar-SA"/>
        </w:rPr>
        <w:t>生成</w:t>
      </w:r>
      <w:r>
        <w:rPr>
          <w:rFonts w:hint="eastAsia" w:ascii="仿宋_GB2312" w:eastAsia="仿宋_GB2312" w:cs="Times New Roman"/>
          <w:color w:val="auto"/>
          <w:sz w:val="32"/>
          <w:szCs w:val="32"/>
          <w:u w:val="none" w:color="auto"/>
          <w:lang w:val="en-US" w:eastAsia="zh-CN" w:bidi="ar-SA"/>
        </w:rPr>
        <w:t>新</w:t>
      </w:r>
      <w:r>
        <w:rPr>
          <w:rFonts w:hint="eastAsia" w:ascii="仿宋_GB2312" w:eastAsia="仿宋_GB2312" w:cs="Times New Roman"/>
          <w:color w:val="auto"/>
          <w:sz w:val="32"/>
          <w:szCs w:val="32"/>
          <w:u w:val="none" w:color="auto"/>
          <w:lang w:bidi="ar-SA"/>
        </w:rPr>
        <w:t>企业</w:t>
      </w:r>
      <w:r>
        <w:rPr>
          <w:rFonts w:hint="eastAsia" w:ascii="仿宋_GB2312" w:eastAsia="仿宋_GB2312" w:cs="Times New Roman"/>
          <w:color w:val="auto"/>
          <w:sz w:val="32"/>
          <w:szCs w:val="32"/>
          <w:highlight w:val="none"/>
          <w:u w:val="none" w:color="auto"/>
          <w:lang w:val="en-US" w:eastAsia="zh-CN" w:bidi="ar-SA"/>
        </w:rPr>
        <w:t>100</w:t>
      </w:r>
      <w:r>
        <w:rPr>
          <w:rFonts w:hint="eastAsia" w:ascii="仿宋_GB2312" w:eastAsia="仿宋_GB2312" w:cs="Times New Roman"/>
          <w:color w:val="auto"/>
          <w:sz w:val="32"/>
          <w:szCs w:val="32"/>
          <w:u w:val="none" w:color="auto"/>
          <w:lang w:bidi="ar-SA"/>
        </w:rPr>
        <w:t>家</w:t>
      </w:r>
      <w:r>
        <w:rPr>
          <w:rFonts w:hint="eastAsia" w:ascii="仿宋_GB2312" w:eastAsia="仿宋_GB2312" w:cs="Times New Roman"/>
          <w:color w:val="auto"/>
          <w:sz w:val="32"/>
          <w:szCs w:val="32"/>
          <w:u w:val="none" w:color="auto"/>
          <w:lang w:eastAsia="zh-CN" w:bidi="ar-SA"/>
        </w:rPr>
        <w:t>，</w:t>
      </w:r>
      <w:r>
        <w:rPr>
          <w:rFonts w:hint="eastAsia" w:ascii="仿宋_GB2312" w:eastAsia="仿宋_GB2312" w:cs="Times New Roman"/>
          <w:color w:val="auto"/>
          <w:sz w:val="32"/>
          <w:szCs w:val="32"/>
          <w:u w:val="none" w:color="auto"/>
          <w:lang w:val="en-US" w:eastAsia="zh-CN" w:bidi="ar-SA"/>
        </w:rPr>
        <w:t>企业获得融资额不低于</w:t>
      </w:r>
      <w:r>
        <w:rPr>
          <w:rFonts w:hint="eastAsia" w:ascii="仿宋_GB2312" w:eastAsia="仿宋_GB2312" w:cs="Times New Roman"/>
          <w:color w:val="auto"/>
          <w:sz w:val="32"/>
          <w:szCs w:val="32"/>
          <w:highlight w:val="none"/>
          <w:u w:val="none" w:color="auto"/>
          <w:lang w:val="en-US" w:eastAsia="zh-CN" w:bidi="ar-SA"/>
        </w:rPr>
        <w:t>2</w:t>
      </w:r>
      <w:r>
        <w:rPr>
          <w:rFonts w:hint="eastAsia" w:ascii="仿宋_GB2312" w:eastAsia="仿宋_GB2312" w:cs="Times New Roman"/>
          <w:color w:val="auto"/>
          <w:sz w:val="32"/>
          <w:szCs w:val="32"/>
          <w:u w:val="none" w:color="auto"/>
          <w:lang w:val="en-US" w:eastAsia="zh-CN" w:bidi="ar-SA"/>
        </w:rPr>
        <w:t>亿元。形成鼓励创新、宽容失败的良好氛围，基本解决高校院所“不敢转、不愿转、不会转”的堵点问题。</w:t>
      </w:r>
    </w:p>
    <w:p w14:paraId="2D8FFC61">
      <w:pPr>
        <w:pStyle w:val="13"/>
        <w:keepNext w:val="0"/>
        <w:keepLines w:val="0"/>
        <w:pageBreakBefore w:val="0"/>
        <w:widowControl w:val="0"/>
        <w:kinsoku/>
        <w:wordWrap/>
        <w:overflowPunct/>
        <w:topLinePunct w:val="0"/>
        <w:autoSpaceDE/>
        <w:bidi w:val="0"/>
        <w:adjustRightInd/>
        <w:snapToGrid/>
        <w:spacing w:line="560" w:lineRule="exact"/>
        <w:ind w:left="0" w:firstLine="640" w:firstLineChars="200"/>
        <w:jc w:val="both"/>
        <w:textAlignment w:val="auto"/>
        <w:outlineLvl w:val="1"/>
        <w:rPr>
          <w:rFonts w:ascii="Times New Roman" w:hAnsi="Times New Roman" w:eastAsia="黑体" w:cs="Times New Roman"/>
          <w:color w:val="auto"/>
          <w:sz w:val="32"/>
          <w:szCs w:val="32"/>
          <w:u w:val="none" w:color="auto"/>
          <w:lang w:val="en-US" w:eastAsia="zh-CN" w:bidi="ar-SA"/>
        </w:rPr>
      </w:pPr>
      <w:r>
        <w:rPr>
          <w:rFonts w:ascii="Times New Roman" w:hAnsi="Times New Roman" w:eastAsia="黑体" w:cs="Times New Roman"/>
          <w:color w:val="auto"/>
          <w:sz w:val="32"/>
          <w:szCs w:val="32"/>
          <w:u w:val="none" w:color="auto"/>
          <w:lang w:val="en-US" w:eastAsia="zh-CN" w:bidi="ar-SA"/>
        </w:rPr>
        <w:t>二、改革任务</w:t>
      </w:r>
    </w:p>
    <w:p w14:paraId="4D632A25">
      <w:pPr>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楷体_GB2312" w:cs="Times New Roman"/>
          <w:sz w:val="32"/>
          <w:szCs w:val="32"/>
          <w:u w:val="none" w:color="auto"/>
          <w:lang w:val="en-US" w:eastAsia="zh-CN" w:bidi="ar-SA"/>
        </w:rPr>
      </w:pPr>
      <w:bookmarkStart w:id="1" w:name="_Toc17855"/>
      <w:r>
        <w:rPr>
          <w:rFonts w:ascii="Times New Roman" w:hAnsi="Times New Roman" w:eastAsia="楷体_GB2312" w:cs="Times New Roman"/>
          <w:sz w:val="32"/>
          <w:szCs w:val="32"/>
          <w:u w:val="none" w:color="auto"/>
          <w:lang w:eastAsia="zh-CN" w:bidi="ar-SA"/>
        </w:rPr>
        <w:t>（</w:t>
      </w:r>
      <w:r>
        <w:rPr>
          <w:rFonts w:ascii="Times New Roman" w:hAnsi="Times New Roman" w:eastAsia="楷体_GB2312" w:cs="Times New Roman"/>
          <w:sz w:val="32"/>
          <w:szCs w:val="32"/>
          <w:u w:val="none" w:color="auto"/>
          <w:lang w:val="en-US" w:eastAsia="zh-CN" w:bidi="ar-SA"/>
        </w:rPr>
        <w:t>一</w:t>
      </w:r>
      <w:r>
        <w:rPr>
          <w:rFonts w:ascii="Times New Roman" w:hAnsi="Times New Roman" w:eastAsia="楷体_GB2312" w:cs="Times New Roman"/>
          <w:sz w:val="32"/>
          <w:szCs w:val="32"/>
          <w:u w:val="none" w:color="auto"/>
          <w:lang w:eastAsia="zh-CN" w:bidi="ar-SA"/>
        </w:rPr>
        <w:t>）</w:t>
      </w:r>
      <w:r>
        <w:rPr>
          <w:rFonts w:ascii="Times New Roman" w:hAnsi="Times New Roman" w:eastAsia="楷体_GB2312" w:cs="Times New Roman"/>
          <w:sz w:val="32"/>
          <w:szCs w:val="32"/>
          <w:u w:val="none" w:color="auto"/>
          <w:lang w:bidi="ar-SA"/>
        </w:rPr>
        <w:t>建立完善</w:t>
      </w:r>
      <w:r>
        <w:rPr>
          <w:rFonts w:ascii="Times New Roman" w:hAnsi="Times New Roman" w:eastAsia="楷体_GB2312" w:cs="Times New Roman"/>
          <w:sz w:val="32"/>
          <w:szCs w:val="32"/>
          <w:u w:val="none" w:color="auto"/>
          <w:lang w:val="en-US" w:eastAsia="zh-CN" w:bidi="ar-SA"/>
        </w:rPr>
        <w:t>组织服务体系</w:t>
      </w:r>
      <w:bookmarkEnd w:id="1"/>
    </w:p>
    <w:p w14:paraId="723CDCC7">
      <w:pPr>
        <w:pStyle w:val="13"/>
        <w:keepNext w:val="0"/>
        <w:keepLines w:val="0"/>
        <w:pageBreakBefore w:val="0"/>
        <w:widowControl w:val="0"/>
        <w:kinsoku/>
        <w:wordWrap/>
        <w:overflowPunct/>
        <w:topLinePunct w:val="0"/>
        <w:autoSpaceDE/>
        <w:adjustRightInd/>
        <w:snapToGrid/>
        <w:spacing w:line="560" w:lineRule="exact"/>
        <w:ind w:left="0" w:firstLine="643" w:firstLineChars="200"/>
        <w:jc w:val="both"/>
        <w:rPr>
          <w:rFonts w:ascii="Times New Roman" w:hAnsi="Times New Roman" w:eastAsia="仿宋_GB2312" w:cs="Times New Roman"/>
          <w:sz w:val="32"/>
          <w:szCs w:val="32"/>
          <w:u w:val="none" w:color="auto"/>
          <w:lang w:bidi="ar-SA"/>
        </w:rPr>
      </w:pPr>
      <w:r>
        <w:rPr>
          <w:rFonts w:hint="eastAsia" w:ascii="仿宋_GB2312" w:eastAsia="仿宋_GB2312" w:cs="Times New Roman"/>
          <w:b/>
          <w:bCs/>
          <w:kern w:val="2"/>
          <w:sz w:val="32"/>
          <w:szCs w:val="32"/>
          <w:u w:val="none" w:color="auto"/>
          <w:lang w:val="en-US" w:eastAsia="zh-CN" w:bidi="ar-SA"/>
        </w:rPr>
        <w:t>1.健全工作领导小组机制。</w:t>
      </w:r>
      <w:r>
        <w:rPr>
          <w:rFonts w:hint="eastAsia" w:ascii="仿宋_GB2312" w:eastAsia="仿宋_GB2312" w:cs="Times New Roman"/>
          <w:color w:val="auto"/>
          <w:sz w:val="32"/>
          <w:szCs w:val="32"/>
          <w:u w:val="none" w:color="auto"/>
          <w:lang w:val="en-US" w:eastAsia="zh-CN" w:bidi="ar-SA"/>
        </w:rPr>
        <w:t>支持各</w:t>
      </w:r>
      <w:r>
        <w:rPr>
          <w:rFonts w:hint="eastAsia" w:ascii="仿宋_GB2312" w:eastAsia="仿宋_GB2312" w:cs="Times New Roman"/>
          <w:sz w:val="32"/>
          <w:szCs w:val="32"/>
          <w:u w:val="none" w:color="auto"/>
          <w:lang w:val="en-US" w:eastAsia="zh-CN" w:bidi="ar-SA"/>
        </w:rPr>
        <w:t>高校院所</w:t>
      </w:r>
      <w:r>
        <w:rPr>
          <w:rFonts w:hint="eastAsia" w:ascii="仿宋_GB2312" w:eastAsia="仿宋_GB2312" w:cs="Times New Roman"/>
          <w:color w:val="auto"/>
          <w:sz w:val="32"/>
          <w:szCs w:val="32"/>
          <w:u w:val="none" w:color="auto"/>
          <w:lang w:val="en-US" w:eastAsia="zh-CN" w:bidi="ar-SA"/>
        </w:rPr>
        <w:t>成立科技成果转移转化领导小组，由成果转化、</w:t>
      </w:r>
      <w:r>
        <w:rPr>
          <w:rFonts w:hint="eastAsia" w:ascii="仿宋_GB2312" w:eastAsia="仿宋_GB2312" w:cs="Times New Roman"/>
          <w:color w:val="auto"/>
          <w:sz w:val="32"/>
          <w:szCs w:val="32"/>
          <w:u w:val="none" w:color="auto"/>
          <w:lang w:bidi="ar-SA"/>
        </w:rPr>
        <w:t>科研、财务、人事、国有资产管理等部门共同参与</w:t>
      </w:r>
      <w:r>
        <w:rPr>
          <w:rFonts w:hint="eastAsia" w:ascii="仿宋_GB2312" w:eastAsia="仿宋_GB2312" w:cs="Times New Roman"/>
          <w:color w:val="auto"/>
          <w:sz w:val="32"/>
          <w:szCs w:val="32"/>
          <w:u w:val="none" w:color="auto"/>
          <w:lang w:eastAsia="zh-CN" w:bidi="ar-SA"/>
        </w:rPr>
        <w:t>，</w:t>
      </w:r>
      <w:r>
        <w:rPr>
          <w:rFonts w:hint="eastAsia" w:ascii="仿宋_GB2312" w:eastAsia="仿宋_GB2312" w:cs="Times New Roman"/>
          <w:color w:val="auto"/>
          <w:sz w:val="32"/>
          <w:szCs w:val="32"/>
          <w:u w:val="none" w:color="auto"/>
          <w:lang w:val="en-US" w:eastAsia="zh-CN" w:bidi="ar-SA"/>
        </w:rPr>
        <w:t>负责</w:t>
      </w:r>
      <w:r>
        <w:rPr>
          <w:rFonts w:hint="eastAsia" w:ascii="仿宋_GB2312" w:eastAsia="仿宋_GB2312" w:cs="Times New Roman"/>
          <w:color w:val="auto"/>
          <w:sz w:val="32"/>
          <w:szCs w:val="32"/>
          <w:u w:val="none" w:color="auto"/>
          <w:lang w:bidi="ar-SA"/>
        </w:rPr>
        <w:t>成果转化</w:t>
      </w:r>
      <w:r>
        <w:rPr>
          <w:rFonts w:hint="eastAsia" w:ascii="仿宋_GB2312" w:eastAsia="仿宋_GB2312" w:cs="Times New Roman"/>
          <w:color w:val="auto"/>
          <w:sz w:val="32"/>
          <w:szCs w:val="32"/>
          <w:u w:val="none" w:color="auto"/>
          <w:lang w:val="en-US" w:eastAsia="zh-CN" w:bidi="ar-SA"/>
        </w:rPr>
        <w:t>议事决策，明晰权责和工作流程，推动各部门形成合力，</w:t>
      </w:r>
      <w:r>
        <w:rPr>
          <w:rFonts w:hint="eastAsia" w:ascii="仿宋_GB2312" w:eastAsia="仿宋_GB2312" w:cs="Times New Roman"/>
          <w:color w:val="auto"/>
          <w:sz w:val="32"/>
          <w:szCs w:val="32"/>
          <w:u w:val="none" w:color="auto"/>
          <w:lang w:bidi="ar-SA"/>
        </w:rPr>
        <w:t>规范转化程序</w:t>
      </w:r>
      <w:r>
        <w:rPr>
          <w:rFonts w:hint="eastAsia" w:ascii="仿宋_GB2312" w:eastAsia="仿宋_GB2312" w:cs="Times New Roman"/>
          <w:color w:val="auto"/>
          <w:sz w:val="32"/>
          <w:szCs w:val="32"/>
          <w:u w:val="none" w:color="auto"/>
          <w:lang w:eastAsia="zh-CN" w:bidi="ar-SA"/>
        </w:rPr>
        <w:t>，</w:t>
      </w:r>
      <w:r>
        <w:rPr>
          <w:rFonts w:hint="eastAsia" w:ascii="仿宋_GB2312" w:eastAsia="仿宋_GB2312" w:cs="Times New Roman"/>
          <w:color w:val="auto"/>
          <w:sz w:val="32"/>
          <w:szCs w:val="32"/>
          <w:u w:val="none" w:color="auto"/>
          <w:lang w:val="en-US" w:eastAsia="zh-CN" w:bidi="ar-SA"/>
        </w:rPr>
        <w:t>加速转化落地进程。</w:t>
      </w:r>
      <w:r>
        <w:rPr>
          <w:rFonts w:ascii="Times New Roman" w:hAnsi="Times New Roman" w:eastAsia="黑体" w:cs="Times New Roman"/>
          <w:kern w:val="2"/>
          <w:sz w:val="32"/>
          <w:szCs w:val="32"/>
          <w:u w:val="none" w:color="auto"/>
          <w:lang w:val="en-US" w:eastAsia="zh-CN" w:bidi="ar-SA"/>
        </w:rPr>
        <w:t>〔各高校院所，省教育厅、省科技厅、省工信厅等单位按职责分工负责〕</w:t>
      </w:r>
    </w:p>
    <w:p w14:paraId="0CD05E17">
      <w:pPr>
        <w:pStyle w:val="13"/>
        <w:keepNext w:val="0"/>
        <w:keepLines w:val="0"/>
        <w:pageBreakBefore w:val="0"/>
        <w:widowControl w:val="0"/>
        <w:kinsoku/>
        <w:wordWrap/>
        <w:overflowPunct/>
        <w:topLinePunct w:val="0"/>
        <w:autoSpaceDE/>
        <w:bidi w:val="0"/>
        <w:adjustRightInd/>
        <w:snapToGrid/>
        <w:spacing w:line="560" w:lineRule="exact"/>
        <w:ind w:left="0" w:firstLine="643" w:firstLineChars="200"/>
        <w:jc w:val="both"/>
        <w:textAlignment w:val="auto"/>
        <w:rPr>
          <w:rFonts w:ascii="Times New Roman" w:hAnsi="Times New Roman" w:eastAsia="仿宋_GB2312" w:cs="Times New Roman"/>
          <w:color w:val="auto"/>
          <w:sz w:val="32"/>
          <w:szCs w:val="32"/>
          <w:u w:val="none" w:color="auto"/>
          <w:lang w:val="en-US" w:eastAsia="zh-CN" w:bidi="ar-SA"/>
        </w:rPr>
      </w:pPr>
      <w:r>
        <w:rPr>
          <w:rFonts w:hint="eastAsia" w:ascii="仿宋_GB2312" w:eastAsia="仿宋_GB2312" w:cs="Times New Roman"/>
          <w:b/>
          <w:bCs/>
          <w:kern w:val="2"/>
          <w:sz w:val="32"/>
          <w:szCs w:val="32"/>
          <w:u w:val="none" w:color="auto"/>
          <w:lang w:val="en-US" w:eastAsia="zh-CN" w:bidi="ar-SA"/>
        </w:rPr>
        <w:t>2.建立成果转化专业综合服务平台。</w:t>
      </w:r>
      <w:r>
        <w:rPr>
          <w:rFonts w:hint="eastAsia" w:ascii="仿宋_GB2312" w:eastAsia="仿宋_GB2312" w:cs="Times New Roman"/>
          <w:color w:val="auto"/>
          <w:sz w:val="32"/>
          <w:szCs w:val="32"/>
          <w:u w:val="none" w:color="auto"/>
          <w:lang w:val="en-US" w:eastAsia="zh-CN" w:bidi="ar-SA"/>
        </w:rPr>
        <w:t>支持各高校院所建立综合性、市场化的成果转化服务机构（平台公司），坚持企业化管理。</w:t>
      </w:r>
      <w:r>
        <w:rPr>
          <w:rFonts w:ascii="Times New Roman" w:hAnsi="Times New Roman" w:eastAsia="黑体" w:cs="Times New Roman"/>
          <w:kern w:val="2"/>
          <w:sz w:val="32"/>
          <w:szCs w:val="32"/>
          <w:u w:val="none" w:color="auto"/>
          <w:lang w:val="en-US" w:eastAsia="zh-CN" w:bidi="ar-SA"/>
        </w:rPr>
        <w:t xml:space="preserve">〔各高校院所，省教育厅、省科技厅等单位按职责分工负责〕 </w:t>
      </w:r>
      <w:r>
        <w:rPr>
          <w:rFonts w:ascii="Times New Roman" w:hAnsi="Times New Roman" w:eastAsia="黑体" w:cs="Times New Roman"/>
          <w:color w:val="auto"/>
          <w:sz w:val="32"/>
          <w:szCs w:val="32"/>
          <w:highlight w:val="none"/>
          <w:u w:val="none" w:color="auto"/>
          <w:lang w:val="en-US" w:eastAsia="zh-CN" w:bidi="ar-SA"/>
        </w:rPr>
        <w:t xml:space="preserve"> </w:t>
      </w:r>
    </w:p>
    <w:p w14:paraId="01F3B391">
      <w:pPr>
        <w:pStyle w:val="13"/>
        <w:keepNext w:val="0"/>
        <w:keepLines w:val="0"/>
        <w:pageBreakBefore w:val="0"/>
        <w:widowControl w:val="0"/>
        <w:kinsoku/>
        <w:wordWrap/>
        <w:overflowPunct/>
        <w:topLinePunct w:val="0"/>
        <w:autoSpaceDE/>
        <w:bidi w:val="0"/>
        <w:adjustRightInd/>
        <w:snapToGrid/>
        <w:spacing w:line="560" w:lineRule="exact"/>
        <w:ind w:left="0" w:firstLine="643" w:firstLineChars="200"/>
        <w:jc w:val="both"/>
        <w:textAlignment w:val="auto"/>
        <w:rPr>
          <w:rFonts w:ascii="Times New Roman" w:hAnsi="Times New Roman" w:eastAsia="仿宋_GB2312" w:cs="Times New Roman"/>
          <w:color w:val="auto"/>
          <w:sz w:val="32"/>
          <w:szCs w:val="32"/>
          <w:u w:val="none" w:color="auto"/>
          <w:lang w:bidi="ar-SA"/>
        </w:rPr>
      </w:pPr>
      <w:r>
        <w:rPr>
          <w:rFonts w:hint="eastAsia" w:ascii="仿宋_GB2312" w:eastAsia="仿宋_GB2312" w:cs="Times New Roman"/>
          <w:b/>
          <w:bCs/>
          <w:kern w:val="2"/>
          <w:sz w:val="32"/>
          <w:szCs w:val="32"/>
          <w:u w:val="none" w:color="auto"/>
          <w:lang w:val="en-US" w:eastAsia="zh-CN" w:bidi="ar-SA"/>
        </w:rPr>
        <w:t>3.打造“一站式”服务体系。</w:t>
      </w:r>
      <w:r>
        <w:rPr>
          <w:rFonts w:hint="eastAsia" w:ascii="仿宋_GB2312" w:eastAsia="仿宋_GB2312" w:cs="Times New Roman"/>
          <w:color w:val="auto"/>
          <w:sz w:val="32"/>
          <w:szCs w:val="32"/>
          <w:u w:val="none" w:color="auto"/>
          <w:lang w:val="en-US" w:eastAsia="zh-CN" w:bidi="ar-SA"/>
        </w:rPr>
        <w:t>各高校院所应</w:t>
      </w:r>
      <w:r>
        <w:rPr>
          <w:rFonts w:hint="eastAsia" w:ascii="仿宋_GB2312" w:eastAsia="仿宋_GB2312" w:cs="Times New Roman"/>
          <w:color w:val="auto"/>
          <w:sz w:val="32"/>
          <w:szCs w:val="32"/>
          <w:u w:val="none" w:color="auto"/>
          <w:lang w:bidi="ar-SA"/>
        </w:rPr>
        <w:t>建立成果转化“</w:t>
      </w:r>
      <w:r>
        <w:rPr>
          <w:rFonts w:hint="eastAsia" w:ascii="仿宋_GB2312" w:eastAsia="仿宋_GB2312" w:cs="Times New Roman"/>
          <w:color w:val="auto"/>
          <w:sz w:val="32"/>
          <w:szCs w:val="32"/>
          <w:u w:val="none" w:color="auto"/>
          <w:lang w:val="en-US" w:eastAsia="zh-CN" w:bidi="ar-SA"/>
        </w:rPr>
        <w:t>一个门、</w:t>
      </w:r>
      <w:r>
        <w:rPr>
          <w:rFonts w:hint="eastAsia" w:ascii="仿宋_GB2312" w:eastAsia="仿宋_GB2312" w:cs="Times New Roman"/>
          <w:color w:val="auto"/>
          <w:sz w:val="32"/>
          <w:szCs w:val="32"/>
          <w:u w:val="none" w:color="auto"/>
          <w:lang w:bidi="ar-SA"/>
        </w:rPr>
        <w:t>一张</w:t>
      </w:r>
      <w:r>
        <w:rPr>
          <w:rFonts w:hint="eastAsia" w:ascii="仿宋_GB2312" w:eastAsia="仿宋_GB2312" w:cs="Times New Roman"/>
          <w:color w:val="auto"/>
          <w:sz w:val="32"/>
          <w:szCs w:val="32"/>
          <w:u w:val="none" w:color="auto"/>
          <w:lang w:val="en-US" w:eastAsia="zh-CN" w:bidi="ar-SA"/>
        </w:rPr>
        <w:t>表</w:t>
      </w:r>
      <w:r>
        <w:rPr>
          <w:rFonts w:hint="eastAsia" w:ascii="仿宋_GB2312" w:eastAsia="仿宋_GB2312" w:cs="Times New Roman"/>
          <w:color w:val="auto"/>
          <w:sz w:val="32"/>
          <w:szCs w:val="32"/>
          <w:u w:val="none" w:color="auto"/>
          <w:lang w:bidi="ar-SA"/>
        </w:rPr>
        <w:t>、一幅流程图、一</w:t>
      </w:r>
      <w:r>
        <w:rPr>
          <w:rFonts w:hint="eastAsia" w:ascii="仿宋_GB2312" w:eastAsia="仿宋_GB2312" w:cs="Times New Roman"/>
          <w:color w:val="auto"/>
          <w:sz w:val="32"/>
          <w:szCs w:val="32"/>
          <w:u w:val="none" w:color="auto"/>
          <w:lang w:val="en-US" w:eastAsia="zh-CN" w:bidi="ar-SA"/>
        </w:rPr>
        <w:t>个专业服务机构</w:t>
      </w:r>
      <w:r>
        <w:rPr>
          <w:rFonts w:hint="eastAsia" w:ascii="仿宋_GB2312" w:eastAsia="仿宋_GB2312" w:cs="Times New Roman"/>
          <w:color w:val="auto"/>
          <w:sz w:val="32"/>
          <w:szCs w:val="32"/>
          <w:u w:val="none" w:color="auto"/>
          <w:lang w:bidi="ar-SA"/>
        </w:rPr>
        <w:t>”制度，</w:t>
      </w:r>
      <w:r>
        <w:rPr>
          <w:rFonts w:hint="eastAsia" w:ascii="仿宋_GB2312" w:eastAsia="仿宋_GB2312" w:cs="Times New Roman"/>
          <w:color w:val="auto"/>
          <w:sz w:val="32"/>
          <w:szCs w:val="32"/>
          <w:u w:val="none" w:color="auto"/>
          <w:lang w:val="en-US" w:eastAsia="zh-CN" w:bidi="ar-SA"/>
        </w:rPr>
        <w:t>梳理制定本单位成果转化赋权表和流程图，简化</w:t>
      </w:r>
      <w:r>
        <w:rPr>
          <w:rFonts w:hint="eastAsia" w:ascii="仿宋_GB2312" w:eastAsia="仿宋_GB2312" w:cs="Times New Roman"/>
          <w:color w:val="auto"/>
          <w:sz w:val="32"/>
          <w:szCs w:val="32"/>
          <w:u w:val="none" w:color="auto"/>
          <w:lang w:bidi="ar-SA"/>
        </w:rPr>
        <w:t>内部成果转化审批流程</w:t>
      </w:r>
      <w:r>
        <w:rPr>
          <w:rFonts w:hint="eastAsia" w:ascii="仿宋_GB2312" w:eastAsia="仿宋_GB2312" w:cs="Times New Roman"/>
          <w:color w:val="auto"/>
          <w:sz w:val="32"/>
          <w:szCs w:val="32"/>
          <w:u w:val="none" w:color="auto"/>
          <w:lang w:eastAsia="zh-CN" w:bidi="ar-SA"/>
        </w:rPr>
        <w:t>，</w:t>
      </w:r>
      <w:r>
        <w:rPr>
          <w:rFonts w:hint="eastAsia" w:ascii="仿宋_GB2312" w:eastAsia="仿宋_GB2312" w:cs="Times New Roman"/>
          <w:color w:val="auto"/>
          <w:sz w:val="32"/>
          <w:szCs w:val="32"/>
          <w:u w:val="none" w:color="auto"/>
          <w:lang w:val="en-US" w:eastAsia="zh-CN" w:bidi="ar-SA"/>
        </w:rPr>
        <w:t>专业服务机构</w:t>
      </w:r>
      <w:r>
        <w:rPr>
          <w:rFonts w:hint="eastAsia" w:ascii="仿宋_GB2312" w:eastAsia="仿宋_GB2312" w:cs="Times New Roman"/>
          <w:color w:val="auto"/>
          <w:sz w:val="32"/>
          <w:szCs w:val="32"/>
          <w:u w:val="none" w:color="auto"/>
          <w:lang w:bidi="ar-SA"/>
        </w:rPr>
        <w:t>提供</w:t>
      </w:r>
      <w:r>
        <w:rPr>
          <w:rFonts w:hint="eastAsia" w:ascii="仿宋_GB2312" w:eastAsia="仿宋_GB2312" w:cs="Times New Roman"/>
          <w:color w:val="auto"/>
          <w:sz w:val="32"/>
          <w:szCs w:val="32"/>
          <w:u w:val="none" w:color="auto"/>
          <w:lang w:val="en-US" w:eastAsia="zh-CN" w:bidi="ar-SA"/>
        </w:rPr>
        <w:t>从概念验证、中试熟化、二次开发、成立企业、创业融资、挂牌上市的“0-1-10-100”全流程、全生命周期“一站式”服务。</w:t>
      </w:r>
      <w:r>
        <w:rPr>
          <w:rFonts w:ascii="Times New Roman" w:hAnsi="Times New Roman" w:eastAsia="黑体" w:cs="Times New Roman"/>
          <w:kern w:val="2"/>
          <w:sz w:val="32"/>
          <w:szCs w:val="32"/>
          <w:u w:val="none" w:color="auto"/>
          <w:lang w:val="en-US" w:eastAsia="zh-CN" w:bidi="ar-SA"/>
        </w:rPr>
        <w:t xml:space="preserve">〔各高校院所，省教育厅、省科技厅、省工信厅等单位按职责分工负责〕 </w:t>
      </w:r>
    </w:p>
    <w:p w14:paraId="3E133AE8">
      <w:pPr>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楷体_GB2312" w:cs="Times New Roman"/>
          <w:sz w:val="32"/>
          <w:szCs w:val="32"/>
          <w:u w:val="none" w:color="auto"/>
          <w:lang w:val="en-US" w:eastAsia="zh-CN" w:bidi="ar-SA"/>
        </w:rPr>
      </w:pPr>
      <w:bookmarkStart w:id="2" w:name="_Toc29868"/>
      <w:bookmarkStart w:id="3" w:name="_Toc27980"/>
      <w:r>
        <w:rPr>
          <w:rFonts w:ascii="Times New Roman" w:hAnsi="Times New Roman" w:eastAsia="楷体_GB2312" w:cs="Times New Roman"/>
          <w:sz w:val="32"/>
          <w:szCs w:val="32"/>
          <w:u w:val="none" w:color="auto"/>
          <w:lang w:val="en-US" w:eastAsia="zh-CN" w:bidi="ar-SA"/>
        </w:rPr>
        <w:t>（二）推动职务科技成果单列管理</w:t>
      </w:r>
      <w:bookmarkEnd w:id="2"/>
      <w:r>
        <w:rPr>
          <w:rFonts w:ascii="Times New Roman" w:hAnsi="Times New Roman" w:eastAsia="楷体_GB2312" w:cs="Times New Roman"/>
          <w:sz w:val="32"/>
          <w:szCs w:val="32"/>
          <w:u w:val="none" w:color="auto"/>
          <w:lang w:val="en-US" w:eastAsia="zh-CN" w:bidi="ar-SA"/>
        </w:rPr>
        <w:t>改革</w:t>
      </w:r>
    </w:p>
    <w:p w14:paraId="4DE2326C">
      <w:pPr>
        <w:pStyle w:val="13"/>
        <w:keepNext w:val="0"/>
        <w:keepLines w:val="0"/>
        <w:pageBreakBefore w:val="0"/>
        <w:widowControl w:val="0"/>
        <w:kinsoku/>
        <w:wordWrap/>
        <w:overflowPunct/>
        <w:topLinePunct w:val="0"/>
        <w:autoSpaceDE/>
        <w:autoSpaceDN w:val="0"/>
        <w:adjustRightInd/>
        <w:snapToGrid/>
        <w:spacing w:line="560" w:lineRule="exact"/>
        <w:ind w:left="0" w:firstLine="643" w:firstLineChars="200"/>
        <w:jc w:val="both"/>
        <w:rPr>
          <w:rFonts w:ascii="Times New Roman" w:hAnsi="Times New Roman" w:eastAsia="仿宋_GB2312" w:cs="Times New Roman"/>
          <w:color w:val="auto"/>
          <w:sz w:val="32"/>
          <w:szCs w:val="32"/>
          <w:u w:val="none" w:color="auto"/>
          <w:lang w:val="en-US" w:bidi="ar-SA"/>
        </w:rPr>
      </w:pPr>
      <w:r>
        <w:rPr>
          <w:rFonts w:hint="eastAsia" w:ascii="仿宋_GB2312" w:eastAsia="仿宋_GB2312" w:cs="Times New Roman"/>
          <w:b/>
          <w:bCs/>
          <w:kern w:val="2"/>
          <w:sz w:val="32"/>
          <w:szCs w:val="32"/>
          <w:u w:val="none" w:color="auto"/>
          <w:lang w:val="en-US" w:eastAsia="zh-CN" w:bidi="ar-SA"/>
        </w:rPr>
        <w:t>4.建立职务科技成果单列管理制度。</w:t>
      </w:r>
      <w:r>
        <w:rPr>
          <w:rFonts w:hint="eastAsia" w:ascii="仿宋_GB2312" w:eastAsia="仿宋_GB2312" w:cs="Times New Roman"/>
          <w:color w:val="auto"/>
          <w:sz w:val="32"/>
          <w:szCs w:val="32"/>
          <w:u w:val="none" w:color="auto"/>
          <w:lang w:val="en-US" w:eastAsia="zh-CN" w:bidi="ar-SA"/>
        </w:rPr>
        <w:t>各高校院所要根据“职务科技成果单列管理工作流程”（附件1）以及“黑龙江省职务科技成果单列管理操作指引”</w:t>
      </w:r>
      <w:r>
        <w:rPr>
          <w:rFonts w:hint="eastAsia" w:ascii="仿宋_GB2312" w:eastAsia="仿宋_GB2312" w:cs="Times New Roman"/>
          <w:color w:val="auto"/>
          <w:sz w:val="32"/>
          <w:szCs w:val="32"/>
          <w:u w:val="none" w:color="auto"/>
          <w:lang w:eastAsia="zh-CN" w:bidi="ar-SA"/>
        </w:rPr>
        <w:t>（</w:t>
      </w:r>
      <w:r>
        <w:rPr>
          <w:rFonts w:hint="eastAsia" w:ascii="仿宋_GB2312" w:eastAsia="仿宋_GB2312" w:cs="Times New Roman"/>
          <w:color w:val="auto"/>
          <w:sz w:val="32"/>
          <w:szCs w:val="32"/>
          <w:u w:val="none" w:color="auto"/>
          <w:lang w:val="en-US" w:eastAsia="zh-CN" w:bidi="ar-SA"/>
        </w:rPr>
        <w:t>附件2</w:t>
      </w:r>
      <w:r>
        <w:rPr>
          <w:rFonts w:hint="eastAsia" w:ascii="仿宋_GB2312" w:eastAsia="仿宋_GB2312" w:cs="Times New Roman"/>
          <w:color w:val="auto"/>
          <w:sz w:val="32"/>
          <w:szCs w:val="32"/>
          <w:u w:val="none" w:color="auto"/>
          <w:lang w:eastAsia="zh-CN" w:bidi="ar-SA"/>
        </w:rPr>
        <w:t>）管理本单位职务科技成果。</w:t>
      </w:r>
      <w:r>
        <w:rPr>
          <w:rFonts w:hint="eastAsia" w:ascii="仿宋_GB2312" w:eastAsia="仿宋_GB2312" w:cs="Times New Roman"/>
          <w:color w:val="auto"/>
          <w:sz w:val="32"/>
          <w:szCs w:val="32"/>
          <w:u w:val="none" w:color="auto"/>
          <w:lang w:val="en-US" w:eastAsia="zh-CN" w:bidi="ar-SA"/>
        </w:rPr>
        <w:t>各高校院所应</w:t>
      </w:r>
      <w:r>
        <w:rPr>
          <w:rFonts w:hint="eastAsia" w:ascii="仿宋_GB2312" w:eastAsia="仿宋_GB2312" w:cs="Times New Roman"/>
          <w:color w:val="auto"/>
          <w:sz w:val="32"/>
          <w:szCs w:val="32"/>
          <w:u w:val="none" w:color="auto"/>
          <w:lang w:val="en-US" w:bidi="ar-SA"/>
        </w:rPr>
        <w:t>建立一套区别于现行国有资产管理模式且符合科技成果转化规律的管理制度</w:t>
      </w:r>
      <w:r>
        <w:rPr>
          <w:rFonts w:hint="eastAsia" w:ascii="仿宋_GB2312" w:eastAsia="仿宋_GB2312" w:cs="Times New Roman"/>
          <w:color w:val="auto"/>
          <w:sz w:val="32"/>
          <w:szCs w:val="32"/>
          <w:u w:val="none" w:color="auto"/>
          <w:lang w:val="en-US" w:eastAsia="zh-CN" w:bidi="ar-SA"/>
        </w:rPr>
        <w:t>，</w:t>
      </w:r>
      <w:r>
        <w:rPr>
          <w:rFonts w:hint="eastAsia" w:ascii="仿宋_GB2312" w:eastAsia="仿宋_GB2312" w:cs="Times New Roman"/>
          <w:color w:val="auto"/>
          <w:sz w:val="32"/>
          <w:szCs w:val="32"/>
          <w:u w:val="none" w:color="auto"/>
          <w:lang w:bidi="ar-SA"/>
        </w:rPr>
        <w:t>引导相关部门统筹协同，建立切实可行</w:t>
      </w:r>
      <w:r>
        <w:rPr>
          <w:rFonts w:hint="eastAsia" w:ascii="仿宋_GB2312" w:eastAsia="仿宋_GB2312" w:cs="Times New Roman"/>
          <w:color w:val="auto"/>
          <w:sz w:val="32"/>
          <w:szCs w:val="32"/>
          <w:u w:val="none" w:color="auto"/>
          <w:lang w:val="en-US" w:eastAsia="zh-CN" w:bidi="ar-SA"/>
        </w:rPr>
        <w:t>的</w:t>
      </w:r>
      <w:r>
        <w:rPr>
          <w:rFonts w:hint="eastAsia" w:ascii="仿宋_GB2312" w:eastAsia="仿宋_GB2312" w:cs="Times New Roman"/>
          <w:color w:val="auto"/>
          <w:sz w:val="32"/>
          <w:szCs w:val="32"/>
          <w:u w:val="none" w:color="auto"/>
          <w:lang w:bidi="ar-SA"/>
        </w:rPr>
        <w:t>监管机制，确保不会出现违法违规和资产损失问题</w:t>
      </w:r>
      <w:r>
        <w:rPr>
          <w:rFonts w:hint="eastAsia" w:ascii="仿宋_GB2312" w:eastAsia="仿宋_GB2312" w:cs="Times New Roman"/>
          <w:color w:val="auto"/>
          <w:sz w:val="32"/>
          <w:szCs w:val="32"/>
          <w:u w:val="none" w:color="auto"/>
          <w:lang w:eastAsia="zh-CN" w:bidi="ar-SA"/>
        </w:rPr>
        <w:t>。</w:t>
      </w:r>
      <w:r>
        <w:rPr>
          <w:rFonts w:ascii="Times New Roman" w:hAnsi="Times New Roman" w:eastAsia="黑体" w:cs="Times New Roman"/>
          <w:kern w:val="2"/>
          <w:sz w:val="32"/>
          <w:szCs w:val="32"/>
          <w:u w:val="none" w:color="auto"/>
          <w:lang w:val="en-US" w:eastAsia="zh-CN" w:bidi="ar-SA"/>
        </w:rPr>
        <w:t>〔各高校院所，省财政厅、省教育厅、省科技厅、省审计厅等单位按职责分工负责〕</w:t>
      </w:r>
    </w:p>
    <w:bookmarkEnd w:id="3"/>
    <w:p w14:paraId="628E528B">
      <w:pPr>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楷体_GB2312" w:cs="Times New Roman"/>
          <w:sz w:val="32"/>
          <w:szCs w:val="32"/>
          <w:u w:val="none" w:color="auto"/>
          <w:lang w:val="en-US" w:eastAsia="zh-CN" w:bidi="ar-SA"/>
        </w:rPr>
      </w:pPr>
      <w:r>
        <w:rPr>
          <w:rFonts w:ascii="Times New Roman" w:hAnsi="Times New Roman" w:eastAsia="楷体_GB2312" w:cs="Times New Roman"/>
          <w:sz w:val="32"/>
          <w:szCs w:val="32"/>
          <w:u w:val="none" w:color="auto"/>
          <w:lang w:val="en-US" w:eastAsia="zh-CN" w:bidi="ar-SA"/>
        </w:rPr>
        <w:t>（三）全面推行职务科技成果赋权改革</w:t>
      </w:r>
    </w:p>
    <w:p w14:paraId="2686FB13">
      <w:pPr>
        <w:pStyle w:val="13"/>
        <w:keepNext w:val="0"/>
        <w:keepLines w:val="0"/>
        <w:pageBreakBefore w:val="0"/>
        <w:widowControl w:val="0"/>
        <w:kinsoku/>
        <w:wordWrap/>
        <w:overflowPunct/>
        <w:topLinePunct w:val="0"/>
        <w:autoSpaceDE/>
        <w:adjustRightInd/>
        <w:snapToGrid/>
        <w:spacing w:line="560" w:lineRule="exact"/>
        <w:ind w:left="0" w:firstLine="643" w:firstLineChars="200"/>
        <w:jc w:val="both"/>
        <w:rPr>
          <w:rFonts w:ascii="Times New Roman" w:hAnsi="Times New Roman" w:eastAsia="楷体_GB2312" w:cs="Times New Roman"/>
          <w:color w:val="auto"/>
          <w:kern w:val="2"/>
          <w:sz w:val="32"/>
          <w:szCs w:val="20"/>
          <w:u w:val="none" w:color="auto"/>
          <w:lang w:val="en-US" w:eastAsia="zh-CN" w:bidi="ar-SA"/>
        </w:rPr>
      </w:pPr>
      <w:r>
        <w:rPr>
          <w:rFonts w:hint="eastAsia" w:ascii="仿宋_GB2312" w:eastAsia="仿宋_GB2312" w:cs="Times New Roman"/>
          <w:b/>
          <w:bCs/>
          <w:kern w:val="2"/>
          <w:sz w:val="32"/>
          <w:szCs w:val="32"/>
          <w:u w:val="none" w:color="auto"/>
          <w:lang w:val="en-US" w:eastAsia="zh-CN" w:bidi="ar-SA"/>
        </w:rPr>
        <w:t>5.赋予科研人员职务科技成果全部所有权。</w:t>
      </w:r>
      <w:r>
        <w:rPr>
          <w:rFonts w:hint="eastAsia" w:ascii="仿宋_GB2312" w:eastAsia="仿宋_GB2312" w:cs="Times New Roman"/>
          <w:color w:val="auto"/>
          <w:sz w:val="32"/>
          <w:szCs w:val="32"/>
          <w:u w:val="none" w:color="auto"/>
          <w:lang w:val="en-US" w:eastAsia="zh-CN" w:bidi="ar-SA"/>
        </w:rPr>
        <w:t>省属高校院所</w:t>
      </w:r>
      <w:r>
        <w:rPr>
          <w:rFonts w:hint="eastAsia" w:ascii="仿宋_GB2312" w:eastAsia="仿宋_GB2312" w:cs="Times New Roman"/>
          <w:color w:val="auto"/>
          <w:kern w:val="0"/>
          <w:sz w:val="32"/>
          <w:szCs w:val="32"/>
          <w:u w:val="none" w:color="auto"/>
          <w:lang w:val="en-US" w:eastAsia="zh-CN" w:bidi="ar-SA"/>
        </w:rPr>
        <w:t>参考“</w:t>
      </w:r>
      <w:r>
        <w:rPr>
          <w:rFonts w:hint="eastAsia" w:ascii="仿宋_GB2312" w:eastAsia="仿宋_GB2312" w:cs="Times New Roman"/>
          <w:color w:val="auto"/>
          <w:sz w:val="32"/>
          <w:szCs w:val="32"/>
          <w:u w:val="none" w:color="auto"/>
          <w:lang w:val="en-US" w:eastAsia="zh-CN" w:bidi="ar-SA"/>
        </w:rPr>
        <w:t>职务科技成果所有权全部赋权流程</w:t>
      </w:r>
      <w:r>
        <w:rPr>
          <w:rFonts w:hint="eastAsia" w:ascii="仿宋_GB2312" w:eastAsia="仿宋_GB2312" w:cs="Times New Roman"/>
          <w:color w:val="auto"/>
          <w:kern w:val="0"/>
          <w:sz w:val="32"/>
          <w:szCs w:val="32"/>
          <w:u w:val="none" w:color="auto"/>
          <w:lang w:val="en-US" w:eastAsia="zh-CN" w:bidi="ar-SA"/>
        </w:rPr>
        <w:t>”（附件3），探索采取“约定收益+全部赋权”模式开展转化，</w:t>
      </w:r>
      <w:r>
        <w:rPr>
          <w:rFonts w:hint="eastAsia" w:ascii="仿宋_GB2312" w:eastAsia="仿宋_GB2312" w:cs="Times New Roman"/>
          <w:color w:val="auto"/>
          <w:sz w:val="32"/>
          <w:szCs w:val="32"/>
          <w:u w:val="none" w:color="auto"/>
          <w:lang w:bidi="ar-SA"/>
        </w:rPr>
        <w:t>与成果完成人（团队）约定收益分配等事项后，</w:t>
      </w:r>
      <w:r>
        <w:rPr>
          <w:rFonts w:hint="eastAsia" w:ascii="仿宋_GB2312" w:eastAsia="仿宋_GB2312" w:cs="Times New Roman"/>
          <w:color w:val="auto"/>
          <w:sz w:val="32"/>
          <w:szCs w:val="32"/>
          <w:u w:val="none" w:color="auto"/>
          <w:lang w:val="en-US" w:eastAsia="zh-CN" w:bidi="ar-SA"/>
        </w:rPr>
        <w:t>结合实际将所持有的职务科技成果所有权全部赋予成果完成人（团队），</w:t>
      </w:r>
      <w:r>
        <w:rPr>
          <w:rFonts w:hint="eastAsia" w:ascii="仿宋_GB2312" w:eastAsia="仿宋_GB2312" w:cs="Times New Roman"/>
          <w:color w:val="auto"/>
          <w:kern w:val="0"/>
          <w:sz w:val="32"/>
          <w:szCs w:val="32"/>
          <w:u w:val="none" w:color="auto"/>
          <w:lang w:val="en-US" w:eastAsia="zh-CN" w:bidi="ar-SA"/>
        </w:rPr>
        <w:t>科研人员获得全部所有权后，自主转化，</w:t>
      </w:r>
      <w:r>
        <w:rPr>
          <w:rFonts w:hint="eastAsia" w:ascii="仿宋_GB2312" w:eastAsia="仿宋_GB2312" w:cs="Times New Roman"/>
          <w:sz w:val="32"/>
          <w:szCs w:val="32"/>
          <w:u w:val="none" w:color="auto"/>
          <w:lang w:bidi="ar-SA"/>
        </w:rPr>
        <w:t>实现从“先出成果再考虑转化、先转化后奖励”到“先赋权再一体化推进成果创造和转化”的激励模式转化。</w:t>
      </w:r>
      <w:r>
        <w:rPr>
          <w:rFonts w:hint="eastAsia" w:ascii="仿宋_GB2312" w:eastAsia="仿宋_GB2312" w:cs="Times New Roman"/>
          <w:color w:val="auto"/>
          <w:kern w:val="0"/>
          <w:sz w:val="32"/>
          <w:szCs w:val="32"/>
          <w:u w:val="none" w:color="auto"/>
          <w:lang w:val="en-US" w:eastAsia="zh-CN" w:bidi="ar-SA"/>
        </w:rPr>
        <w:t>对可能影响国家安全、国防安全、公共安全、经济安全、社会稳定等事关国家利益和重大社会公共利益，以及涉及国家秘密的职务科技成果，不纳入赋权范围。</w:t>
      </w:r>
      <w:r>
        <w:rPr>
          <w:rStyle w:val="19"/>
          <w:rFonts w:hint="eastAsia" w:ascii="仿宋_GB2312" w:eastAsia="仿宋_GB2312" w:cs="Times New Roman"/>
          <w:b w:val="0"/>
          <w:bCs/>
          <w:color w:val="auto"/>
          <w:kern w:val="2"/>
          <w:sz w:val="32"/>
          <w:szCs w:val="32"/>
          <w:u w:val="none" w:color="auto"/>
          <w:lang w:val="en-US" w:eastAsia="zh-CN" w:bidi="ar-SA"/>
        </w:rPr>
        <w:t>鼓励高校院所按照先使用后付费方式把科技成果许可给企业使用，采取“零门槛费+阶段性支付+收入提成”或“延期支付”等方式转化成果。</w:t>
      </w:r>
      <w:r>
        <w:rPr>
          <w:rFonts w:ascii="Times New Roman" w:hAnsi="Times New Roman" w:eastAsia="黑体" w:cs="Times New Roman"/>
          <w:kern w:val="2"/>
          <w:sz w:val="32"/>
          <w:szCs w:val="32"/>
          <w:u w:val="none" w:color="auto"/>
          <w:lang w:val="en-US" w:eastAsia="zh-CN" w:bidi="ar-SA"/>
        </w:rPr>
        <w:t>〔</w:t>
      </w:r>
      <w:r>
        <w:rPr>
          <w:rFonts w:ascii="Times New Roman" w:hAnsi="Times New Roman" w:eastAsia="黑体" w:cs="Times New Roman"/>
          <w:color w:val="auto"/>
          <w:kern w:val="0"/>
          <w:sz w:val="32"/>
          <w:szCs w:val="32"/>
          <w:u w:val="none" w:color="auto"/>
          <w:lang w:val="en-US" w:eastAsia="zh-CN" w:bidi="ar-SA"/>
        </w:rPr>
        <w:t>各高校院所，省工信厅、省教育厅、省科技厅等单位按职责分工负责</w:t>
      </w:r>
      <w:r>
        <w:rPr>
          <w:rFonts w:ascii="Times New Roman" w:hAnsi="Times New Roman" w:eastAsia="黑体" w:cs="Times New Roman"/>
          <w:kern w:val="2"/>
          <w:sz w:val="32"/>
          <w:szCs w:val="32"/>
          <w:u w:val="none" w:color="auto"/>
          <w:lang w:val="en-US" w:eastAsia="zh-CN" w:bidi="ar-SA"/>
        </w:rPr>
        <w:t>〕</w:t>
      </w:r>
      <w:r>
        <w:rPr>
          <w:rFonts w:ascii="Times New Roman" w:hAnsi="Times New Roman" w:eastAsia="黑体" w:cs="Times New Roman"/>
          <w:color w:val="auto"/>
          <w:kern w:val="0"/>
          <w:sz w:val="32"/>
          <w:szCs w:val="32"/>
          <w:u w:val="none" w:color="auto"/>
          <w:lang w:val="en-US" w:eastAsia="zh-CN" w:bidi="ar-SA"/>
        </w:rPr>
        <w:t xml:space="preserve"> </w:t>
      </w:r>
    </w:p>
    <w:p w14:paraId="0DF33B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u w:val="none" w:color="auto"/>
          <w:lang w:val="en-US" w:eastAsia="zh-CN" w:bidi="ar-SA"/>
        </w:rPr>
      </w:pPr>
      <w:r>
        <w:rPr>
          <w:rFonts w:hint="eastAsia" w:ascii="仿宋_GB2312" w:eastAsia="仿宋_GB2312" w:cs="Times New Roman"/>
          <w:b/>
          <w:bCs/>
          <w:kern w:val="2"/>
          <w:sz w:val="32"/>
          <w:szCs w:val="32"/>
          <w:u w:val="none" w:color="auto"/>
          <w:lang w:val="en-US" w:eastAsia="zh-CN" w:bidi="ar-SA"/>
        </w:rPr>
        <w:t>6.支持具有领导职务的科研人员转化成果。</w:t>
      </w:r>
      <w:r>
        <w:rPr>
          <w:rFonts w:hint="eastAsia" w:ascii="仿宋_GB2312" w:eastAsia="仿宋_GB2312" w:cs="Times New Roman"/>
          <w:color w:val="auto"/>
          <w:sz w:val="32"/>
          <w:szCs w:val="32"/>
          <w:u w:val="none" w:color="auto"/>
          <w:lang w:bidi="ar-SA"/>
        </w:rPr>
        <w:t>具有独立法人资格科研单位的正职领导，是科技成果的主要完成人或者对科技成果转化作出重要贡献的，可以按照</w:t>
      </w:r>
      <w:r>
        <w:rPr>
          <w:rFonts w:hint="eastAsia" w:ascii="仿宋_GB2312" w:eastAsia="仿宋_GB2312" w:cs="Times New Roman"/>
          <w:color w:val="auto"/>
          <w:sz w:val="32"/>
          <w:szCs w:val="32"/>
          <w:u w:val="none" w:color="auto"/>
          <w:lang w:val="en-US" w:eastAsia="zh-CN" w:bidi="ar-SA"/>
        </w:rPr>
        <w:t>《中华人民共和国</w:t>
      </w:r>
      <w:r>
        <w:rPr>
          <w:rFonts w:hint="eastAsia" w:ascii="仿宋_GB2312" w:eastAsia="仿宋_GB2312" w:cs="Times New Roman"/>
          <w:color w:val="auto"/>
          <w:sz w:val="32"/>
          <w:szCs w:val="32"/>
          <w:u w:val="none" w:color="auto"/>
          <w:lang w:bidi="ar-SA"/>
        </w:rPr>
        <w:t>促进科技成果转化法</w:t>
      </w:r>
      <w:r>
        <w:rPr>
          <w:rFonts w:hint="eastAsia" w:ascii="仿宋_GB2312" w:eastAsia="仿宋_GB2312" w:cs="Times New Roman"/>
          <w:color w:val="auto"/>
          <w:sz w:val="32"/>
          <w:szCs w:val="32"/>
          <w:u w:val="none" w:color="auto"/>
          <w:lang w:eastAsia="zh-CN" w:bidi="ar-SA"/>
        </w:rPr>
        <w:t>》</w:t>
      </w:r>
      <w:r>
        <w:rPr>
          <w:rFonts w:hint="eastAsia" w:ascii="仿宋_GB2312" w:eastAsia="仿宋_GB2312" w:cs="Times New Roman"/>
          <w:color w:val="auto"/>
          <w:sz w:val="32"/>
          <w:szCs w:val="32"/>
          <w:u w:val="none" w:color="auto"/>
          <w:lang w:bidi="ar-SA"/>
        </w:rPr>
        <w:t>的规定获得现金奖励，原则上不得获取股权激励；领导班子其他成员、所属院系所和内设机构领导人员等其他担任领导职务的科技人员，是科技成果的主要完成人或者对科技成果转化作出重要贡献的，可以按照《中华人民共和国促进科技成果转化法》的规定获得现金、股份或者出资比例等奖励和报酬</w:t>
      </w:r>
      <w:r>
        <w:rPr>
          <w:rFonts w:hint="eastAsia" w:ascii="仿宋_GB2312" w:eastAsia="仿宋_GB2312" w:cs="Times New Roman"/>
          <w:color w:val="auto"/>
          <w:sz w:val="32"/>
          <w:szCs w:val="32"/>
          <w:highlight w:val="none"/>
          <w:u w:val="none" w:color="auto"/>
          <w:lang w:bidi="ar-SA"/>
        </w:rPr>
        <w:t>，</w:t>
      </w:r>
      <w:r>
        <w:rPr>
          <w:rFonts w:hint="eastAsia" w:ascii="仿宋_GB2312" w:eastAsia="仿宋_GB2312" w:cs="Times New Roman"/>
          <w:color w:val="auto"/>
          <w:sz w:val="32"/>
          <w:szCs w:val="32"/>
          <w:highlight w:val="none"/>
          <w:u w:val="none" w:color="auto"/>
          <w:lang w:val="en-US" w:eastAsia="zh-CN" w:bidi="ar-SA"/>
        </w:rPr>
        <w:t>成果转化产生的</w:t>
      </w:r>
      <w:r>
        <w:rPr>
          <w:rStyle w:val="19"/>
          <w:rFonts w:hint="eastAsia" w:ascii="仿宋_GB2312" w:eastAsia="仿宋_GB2312" w:cs="Times New Roman"/>
          <w:b w:val="0"/>
          <w:color w:val="auto"/>
          <w:sz w:val="32"/>
          <w:szCs w:val="32"/>
          <w:highlight w:val="none"/>
          <w:u w:val="none" w:color="auto"/>
          <w:lang w:bidi="ar-SA"/>
        </w:rPr>
        <w:t>股权激励不视同经商办企业</w:t>
      </w:r>
      <w:r>
        <w:rPr>
          <w:rFonts w:hint="eastAsia" w:ascii="仿宋_GB2312" w:eastAsia="仿宋_GB2312" w:cs="Times New Roman"/>
          <w:color w:val="auto"/>
          <w:kern w:val="0"/>
          <w:sz w:val="32"/>
          <w:szCs w:val="32"/>
          <w:highlight w:val="none"/>
          <w:u w:val="none" w:color="auto"/>
          <w:lang w:val="en-US" w:eastAsia="zh-CN" w:bidi="ar-SA"/>
        </w:rPr>
        <w:t>。</w:t>
      </w:r>
      <w:bookmarkStart w:id="4" w:name="_Toc27178"/>
      <w:r>
        <w:rPr>
          <w:rFonts w:ascii="Times New Roman" w:hAnsi="Times New Roman" w:eastAsia="黑体" w:cs="Times New Roman"/>
          <w:kern w:val="2"/>
          <w:sz w:val="32"/>
          <w:szCs w:val="32"/>
          <w:u w:val="none" w:color="auto"/>
          <w:lang w:val="en-US" w:eastAsia="zh-CN" w:bidi="ar-SA"/>
        </w:rPr>
        <w:t>〔各高校院所，省审计厅、省科技厅、省教育厅等单位按职责分工负责〕</w:t>
      </w:r>
    </w:p>
    <w:bookmarkEnd w:id="4"/>
    <w:p w14:paraId="40F5F088">
      <w:pPr>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楷体_GB2312" w:cs="Times New Roman"/>
          <w:sz w:val="32"/>
          <w:szCs w:val="32"/>
          <w:u w:val="none" w:color="auto"/>
          <w:lang w:val="en-US" w:eastAsia="zh-CN" w:bidi="ar-SA"/>
        </w:rPr>
      </w:pPr>
      <w:r>
        <w:rPr>
          <w:rFonts w:ascii="Times New Roman" w:hAnsi="Times New Roman" w:eastAsia="楷体_GB2312" w:cs="Times New Roman"/>
          <w:sz w:val="32"/>
          <w:szCs w:val="32"/>
          <w:u w:val="none" w:color="auto"/>
          <w:lang w:val="en-US" w:eastAsia="zh-CN" w:bidi="ar-SA"/>
        </w:rPr>
        <w:t>（四）健全技术转移人才评价制度</w:t>
      </w:r>
    </w:p>
    <w:p w14:paraId="01DD1190">
      <w:pPr>
        <w:pStyle w:val="13"/>
        <w:keepNext w:val="0"/>
        <w:keepLines w:val="0"/>
        <w:pageBreakBefore w:val="0"/>
        <w:widowControl w:val="0"/>
        <w:kinsoku/>
        <w:wordWrap/>
        <w:overflowPunct/>
        <w:topLinePunct w:val="0"/>
        <w:autoSpaceDE/>
        <w:autoSpaceDN w:val="0"/>
        <w:bidi w:val="0"/>
        <w:adjustRightInd/>
        <w:snapToGrid/>
        <w:spacing w:line="560" w:lineRule="exact"/>
        <w:ind w:left="0" w:firstLine="643" w:firstLineChars="200"/>
        <w:jc w:val="both"/>
        <w:textAlignment w:val="auto"/>
        <w:rPr>
          <w:rFonts w:ascii="Times New Roman" w:hAnsi="Times New Roman" w:eastAsia="楷体_GB2312" w:cs="Times New Roman"/>
          <w:color w:val="auto"/>
          <w:kern w:val="2"/>
          <w:sz w:val="32"/>
          <w:szCs w:val="20"/>
          <w:u w:val="none" w:color="auto"/>
          <w:lang w:val="en-US" w:eastAsia="zh-CN" w:bidi="ar-SA"/>
        </w:rPr>
      </w:pPr>
      <w:r>
        <w:rPr>
          <w:rFonts w:hint="eastAsia" w:ascii="仿宋_GB2312" w:eastAsia="仿宋_GB2312" w:cs="Times New Roman"/>
          <w:b/>
          <w:bCs/>
          <w:kern w:val="2"/>
          <w:sz w:val="32"/>
          <w:szCs w:val="32"/>
          <w:u w:val="none" w:color="auto"/>
          <w:lang w:val="en-US" w:eastAsia="zh-CN" w:bidi="ar-SA"/>
        </w:rPr>
        <w:t>7.健全成果转化类人才职称评价体系。</w:t>
      </w:r>
      <w:r>
        <w:rPr>
          <w:rFonts w:hint="eastAsia" w:ascii="仿宋_GB2312" w:eastAsia="仿宋_GB2312" w:cs="Times New Roman"/>
          <w:color w:val="auto"/>
          <w:kern w:val="2"/>
          <w:sz w:val="32"/>
          <w:szCs w:val="32"/>
          <w:u w:val="none" w:color="auto"/>
          <w:lang w:val="en-US" w:eastAsia="zh-CN" w:bidi="ar-SA"/>
        </w:rPr>
        <w:t>在自然科学研究系列职称中增设技术经理专业，支持具有职称评审权的高校院所参照应用研究和技术开发与推广专业职称评价标准，在不低于省内通用标准的基础上自行制定评价标准，重点评价促进科技成果落地转化及取得效益情况，对从事成果转化的科研人员、技术经理人参加职称评审实行单独分组、单独确定通过率。</w:t>
      </w:r>
      <w:r>
        <w:rPr>
          <w:rFonts w:ascii="Times New Roman" w:hAnsi="Times New Roman" w:eastAsia="黑体" w:cs="Times New Roman"/>
          <w:kern w:val="2"/>
          <w:sz w:val="32"/>
          <w:szCs w:val="32"/>
          <w:u w:val="none" w:color="auto"/>
          <w:lang w:val="en-US" w:eastAsia="zh-CN" w:bidi="ar-SA"/>
        </w:rPr>
        <w:t>〔各高校院所，省人社厅、省科技厅、省教育厅等单位按职责分工负责〕</w:t>
      </w:r>
    </w:p>
    <w:p w14:paraId="372C4D4E">
      <w:pPr>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楷体_GB2312" w:cs="Times New Roman"/>
          <w:sz w:val="32"/>
          <w:szCs w:val="32"/>
          <w:u w:val="none" w:color="auto"/>
          <w:lang w:val="en-US" w:eastAsia="zh-CN" w:bidi="ar-SA"/>
        </w:rPr>
      </w:pPr>
      <w:bookmarkStart w:id="5" w:name="_Toc30436"/>
      <w:r>
        <w:rPr>
          <w:rFonts w:ascii="Times New Roman" w:hAnsi="Times New Roman" w:eastAsia="楷体_GB2312" w:cs="Times New Roman"/>
          <w:sz w:val="32"/>
          <w:szCs w:val="32"/>
          <w:u w:val="none" w:color="auto"/>
          <w:lang w:val="en-US" w:eastAsia="zh-CN" w:bidi="ar-SA"/>
        </w:rPr>
        <w:t>（五）支持企业与高校院所建立产学研融合机制</w:t>
      </w:r>
    </w:p>
    <w:p w14:paraId="35E01055">
      <w:pPr>
        <w:widowControl/>
        <w:spacing w:line="560" w:lineRule="exact"/>
        <w:ind w:firstLine="643" w:firstLineChars="200"/>
        <w:jc w:val="left"/>
        <w:rPr>
          <w:rFonts w:ascii="Times New Roman" w:hAnsi="Times New Roman" w:eastAsia="仿宋_GB2312" w:cs="Times New Roman"/>
          <w:color w:val="auto"/>
          <w:kern w:val="2"/>
          <w:sz w:val="32"/>
          <w:szCs w:val="32"/>
          <w:u w:val="none" w:color="auto"/>
          <w:lang w:val="en-US" w:eastAsia="zh-CN" w:bidi="ar-SA"/>
        </w:rPr>
      </w:pPr>
      <w:r>
        <w:rPr>
          <w:rFonts w:hint="eastAsia" w:ascii="仿宋_GB2312" w:eastAsia="仿宋_GB2312" w:cs="Times New Roman"/>
          <w:b/>
          <w:bCs/>
          <w:kern w:val="2"/>
          <w:sz w:val="32"/>
          <w:szCs w:val="32"/>
          <w:u w:val="none" w:color="auto"/>
          <w:lang w:val="en-US" w:eastAsia="zh-CN" w:bidi="ar-SA"/>
        </w:rPr>
        <w:t>8.建立地校企产学研深度对接机制。</w:t>
      </w:r>
      <w:r>
        <w:rPr>
          <w:rFonts w:hint="eastAsia" w:ascii="仿宋_GB2312" w:eastAsia="仿宋_GB2312" w:cs="Times New Roman"/>
          <w:color w:val="auto"/>
          <w:kern w:val="2"/>
          <w:sz w:val="32"/>
          <w:szCs w:val="32"/>
          <w:u w:val="none" w:color="auto"/>
          <w:lang w:val="en-US" w:eastAsia="zh-CN" w:bidi="ar-SA"/>
        </w:rPr>
        <w:t>坚持需求导向，以企业需求带动成果供给、以企业转化成果带动成果孵化、以企业产业化成果带动科技风投，建立科技创新与产业创新深度融合机制。实施“科技总师”选派工作，建立人才对接机制,帮助企业开展应用基础研究、攻关产业发展科技创新难题。引导本省国有和民营企业、社会资本联合高校院所建设概念验证中心、产业技术研究院、工程技术中心等各类成果转化平台，降低科技成果转化风险和不确定性。支持科技领军企业组建产业技术创新联盟等创新联合体，建立重大科技任务牵引的“揭榜挂帅”“军令状”“赛马”等科研立项机制。</w:t>
      </w:r>
      <w:r>
        <w:rPr>
          <w:rFonts w:ascii="Times New Roman" w:hAnsi="Times New Roman" w:eastAsia="黑体" w:cs="Times New Roman"/>
          <w:bCs/>
          <w:kern w:val="2"/>
          <w:sz w:val="32"/>
          <w:szCs w:val="32"/>
          <w:u w:val="none" w:color="auto"/>
          <w:lang w:val="en-US" w:eastAsia="zh-CN" w:bidi="ar-SA"/>
        </w:rPr>
        <w:t>〔省国资委、省工信厅、省科技厅、省教育厅等单位按职责分工负责〕</w:t>
      </w:r>
    </w:p>
    <w:p w14:paraId="5912BADE">
      <w:pPr>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楷体_GB2312" w:cs="Times New Roman"/>
          <w:sz w:val="32"/>
          <w:szCs w:val="32"/>
          <w:u w:val="none" w:color="auto"/>
          <w:lang w:val="en-US" w:eastAsia="zh-CN" w:bidi="ar-SA"/>
        </w:rPr>
      </w:pPr>
      <w:r>
        <w:rPr>
          <w:rFonts w:ascii="Times New Roman" w:hAnsi="Times New Roman" w:eastAsia="楷体_GB2312" w:cs="Times New Roman"/>
          <w:sz w:val="32"/>
          <w:szCs w:val="32"/>
          <w:u w:val="none" w:color="auto"/>
          <w:lang w:val="en-US" w:eastAsia="zh-CN" w:bidi="ar-SA"/>
        </w:rPr>
        <w:t>（六）健全容错纠错机制</w:t>
      </w:r>
      <w:bookmarkEnd w:id="5"/>
    </w:p>
    <w:p w14:paraId="57ABCC86">
      <w:pPr>
        <w:pStyle w:val="6"/>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Style w:val="19"/>
          <w:rFonts w:ascii="Times New Roman" w:hAnsi="Times New Roman" w:eastAsia="黑体" w:cs="Times New Roman"/>
          <w:b w:val="0"/>
          <w:bCs/>
          <w:color w:val="auto"/>
          <w:kern w:val="2"/>
          <w:sz w:val="32"/>
          <w:szCs w:val="32"/>
          <w:u w:val="none" w:color="auto"/>
          <w:lang w:val="en-US" w:eastAsia="zh-CN" w:bidi="ar-SA"/>
        </w:rPr>
      </w:pPr>
      <w:r>
        <w:rPr>
          <w:rFonts w:hint="eastAsia" w:ascii="仿宋_GB2312" w:eastAsia="仿宋_GB2312" w:cs="Times New Roman"/>
          <w:b/>
          <w:bCs/>
          <w:kern w:val="2"/>
          <w:sz w:val="32"/>
          <w:szCs w:val="32"/>
          <w:u w:val="none" w:color="auto"/>
          <w:lang w:val="en-US" w:eastAsia="zh-CN" w:bidi="ar-SA"/>
        </w:rPr>
        <w:t>9.建立成果转化尽职免责制度。</w:t>
      </w:r>
      <w:r>
        <w:rPr>
          <w:rFonts w:hint="eastAsia" w:ascii="仿宋_GB2312" w:eastAsia="仿宋_GB2312" w:cs="Times New Roman"/>
          <w:sz w:val="32"/>
          <w:szCs w:val="32"/>
          <w:u w:val="none" w:color="auto"/>
          <w:lang w:val="en-US" w:eastAsia="zh-CN" w:bidi="ar-SA"/>
        </w:rPr>
        <w:t>出台并落实《黑龙江省科技成果转化尽职免责制度指引（试行）》，</w:t>
      </w:r>
      <w:r>
        <w:rPr>
          <w:rFonts w:hint="eastAsia" w:ascii="仿宋_GB2312" w:eastAsia="仿宋_GB2312" w:cs="Times New Roman"/>
          <w:sz w:val="32"/>
          <w:szCs w:val="32"/>
          <w:u w:val="none" w:color="auto"/>
          <w:lang w:bidi="ar-SA"/>
        </w:rPr>
        <w:t>落实好省委《关于落实“三个区分开来”激励干部担当作为的实施办法（试行）》。对科技改革创新中已勤勉尽责且未谋取不当利益，但因其他不可预见原因导致预定目标难以完成的问题和失误，正确区分对待，客观评价科技创新经济事项</w:t>
      </w:r>
      <w:r>
        <w:rPr>
          <w:rFonts w:ascii="Times New Roman" w:hAnsi="Times New Roman" w:eastAsia="仿宋_GB2312" w:cs="Times New Roman"/>
          <w:sz w:val="32"/>
          <w:szCs w:val="32"/>
          <w:u w:val="none" w:color="auto"/>
          <w:lang w:bidi="ar-SA"/>
        </w:rPr>
        <w:t>。</w:t>
      </w:r>
      <w:r>
        <w:rPr>
          <w:rFonts w:ascii="Times New Roman" w:hAnsi="Times New Roman" w:eastAsia="黑体" w:cs="Times New Roman"/>
          <w:bCs/>
          <w:kern w:val="2"/>
          <w:sz w:val="32"/>
          <w:szCs w:val="32"/>
          <w:u w:val="none" w:color="auto"/>
          <w:lang w:val="en-US" w:eastAsia="zh-CN" w:bidi="ar-SA"/>
        </w:rPr>
        <w:t>〔各高校院所，省科技厅、省审计厅、省教育厅等单位按职责分工负责</w:t>
      </w:r>
      <w:bookmarkStart w:id="6" w:name="_Toc8693"/>
      <w:bookmarkStart w:id="7" w:name="_Toc22565"/>
      <w:r>
        <w:rPr>
          <w:rFonts w:ascii="Times New Roman" w:hAnsi="Times New Roman" w:eastAsia="黑体" w:cs="Times New Roman"/>
          <w:bCs/>
          <w:kern w:val="2"/>
          <w:sz w:val="32"/>
          <w:szCs w:val="32"/>
          <w:u w:val="none" w:color="auto"/>
          <w:lang w:val="en-US" w:eastAsia="zh-CN" w:bidi="ar-SA"/>
        </w:rPr>
        <w:t>〕</w:t>
      </w:r>
    </w:p>
    <w:p w14:paraId="52B6FE77">
      <w:pPr>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楷体_GB2312" w:cs="Times New Roman"/>
          <w:sz w:val="32"/>
          <w:szCs w:val="32"/>
          <w:u w:val="none" w:color="auto"/>
          <w:lang w:val="en-US" w:eastAsia="zh-CN" w:bidi="ar-SA"/>
        </w:rPr>
      </w:pPr>
      <w:r>
        <w:rPr>
          <w:rFonts w:ascii="Times New Roman" w:hAnsi="Times New Roman" w:eastAsia="楷体_GB2312" w:cs="Times New Roman"/>
          <w:sz w:val="32"/>
          <w:szCs w:val="32"/>
          <w:u w:val="none" w:color="auto"/>
          <w:lang w:val="en-US" w:eastAsia="zh-CN" w:bidi="ar-SA"/>
        </w:rPr>
        <w:t>（七）加强科技成果转化绩效考核</w:t>
      </w:r>
      <w:bookmarkEnd w:id="6"/>
    </w:p>
    <w:p w14:paraId="430CACF1">
      <w:pPr>
        <w:pStyle w:val="14"/>
        <w:keepNext w:val="0"/>
        <w:keepLines w:val="0"/>
        <w:pageBreakBefore w:val="0"/>
        <w:widowControl w:val="0"/>
        <w:kinsoku/>
        <w:wordWrap/>
        <w:overflowPunct/>
        <w:topLinePunct w:val="0"/>
        <w:autoSpaceDE/>
        <w:bidi w:val="0"/>
        <w:adjustRightInd/>
        <w:snapToGrid/>
        <w:spacing w:before="0" w:beforeAutospacing="0" w:after="0" w:afterAutospacing="0" w:line="560" w:lineRule="exact"/>
        <w:ind w:left="0" w:firstLine="643" w:firstLineChars="200"/>
        <w:jc w:val="both"/>
        <w:textAlignment w:val="auto"/>
        <w:rPr>
          <w:rFonts w:ascii="Times New Roman" w:hAnsi="Times New Roman" w:eastAsia="仿宋_GB2312" w:cs="Times New Roman"/>
          <w:bCs w:val="0"/>
          <w:color w:val="auto"/>
          <w:kern w:val="0"/>
          <w:sz w:val="32"/>
          <w:szCs w:val="32"/>
          <w:highlight w:val="none"/>
          <w:u w:val="none" w:color="auto"/>
          <w:lang w:val="en-US" w:eastAsia="zh-CN" w:bidi="ar-SA"/>
        </w:rPr>
      </w:pPr>
      <w:r>
        <w:rPr>
          <w:rFonts w:hint="eastAsia" w:ascii="仿宋_GB2312" w:eastAsia="仿宋_GB2312" w:cs="Times New Roman"/>
          <w:b/>
          <w:kern w:val="2"/>
          <w:sz w:val="32"/>
          <w:szCs w:val="32"/>
          <w:u w:val="none" w:color="auto"/>
          <w:lang w:val="en-US" w:eastAsia="zh-CN" w:bidi="ar-SA"/>
        </w:rPr>
        <w:t>10.建立科技成果转化指数发布制度。</w:t>
      </w:r>
      <w:r>
        <w:rPr>
          <w:rFonts w:hint="eastAsia" w:ascii="仿宋_GB2312" w:eastAsia="仿宋_GB2312" w:cs="Times New Roman"/>
          <w:bCs w:val="0"/>
          <w:color w:val="auto"/>
          <w:kern w:val="0"/>
          <w:sz w:val="32"/>
          <w:szCs w:val="32"/>
          <w:highlight w:val="none"/>
          <w:u w:val="none" w:color="auto"/>
          <w:lang w:val="en-US" w:eastAsia="zh-CN" w:bidi="ar-SA"/>
        </w:rPr>
        <w:t>激励高校院所提升科技成果转化动力，以技术合同成交额、技术合同成交额贡献率、新生成企业、转化重大科技成果等指标，形成我省高校院所科技成果落地转化指数，每年以省委科技委办公室名义发布</w:t>
      </w:r>
      <w:r>
        <w:rPr>
          <w:rFonts w:hint="eastAsia" w:ascii="仿宋_GB2312" w:eastAsia="仿宋_GB2312" w:cs="Times New Roman"/>
          <w:sz w:val="32"/>
          <w:szCs w:val="32"/>
          <w:u w:val="none" w:color="auto"/>
          <w:lang w:bidi="ar-SA"/>
        </w:rPr>
        <w:t>。</w:t>
      </w:r>
      <w:r>
        <w:rPr>
          <w:rFonts w:ascii="Times New Roman" w:hAnsi="Times New Roman" w:eastAsia="黑体" w:cs="Times New Roman"/>
          <w:kern w:val="2"/>
          <w:sz w:val="32"/>
          <w:szCs w:val="32"/>
          <w:u w:val="none" w:color="auto"/>
          <w:lang w:val="en-US" w:eastAsia="zh-CN" w:bidi="ar-SA"/>
        </w:rPr>
        <w:t>〔</w:t>
      </w:r>
      <w:r>
        <w:rPr>
          <w:rFonts w:ascii="Times New Roman" w:hAnsi="Times New Roman" w:eastAsia="黑体" w:cs="Times New Roman"/>
          <w:bCs w:val="0"/>
          <w:color w:val="auto"/>
          <w:sz w:val="32"/>
          <w:szCs w:val="32"/>
          <w:highlight w:val="none"/>
          <w:u w:val="none" w:color="auto"/>
          <w:lang w:val="en-US" w:eastAsia="zh-CN" w:bidi="ar-SA"/>
        </w:rPr>
        <w:t>各高校院所</w:t>
      </w:r>
      <w:r>
        <w:rPr>
          <w:rFonts w:ascii="Times New Roman" w:hAnsi="Times New Roman" w:eastAsia="黑体" w:cs="Times New Roman"/>
          <w:bCs w:val="0"/>
          <w:color w:val="auto"/>
          <w:kern w:val="0"/>
          <w:sz w:val="32"/>
          <w:szCs w:val="32"/>
          <w:highlight w:val="none"/>
          <w:u w:val="none" w:color="auto"/>
          <w:lang w:val="en-US" w:eastAsia="zh-CN" w:bidi="ar-SA"/>
        </w:rPr>
        <w:t>、省科技厅、省教育厅等单位按职责分工负责</w:t>
      </w:r>
      <w:r>
        <w:rPr>
          <w:rFonts w:ascii="Times New Roman" w:hAnsi="Times New Roman" w:eastAsia="黑体" w:cs="Times New Roman"/>
          <w:kern w:val="2"/>
          <w:sz w:val="32"/>
          <w:szCs w:val="32"/>
          <w:u w:val="none" w:color="auto"/>
          <w:lang w:val="en-US" w:eastAsia="zh-CN" w:bidi="ar-SA"/>
        </w:rPr>
        <w:t>〕</w:t>
      </w:r>
    </w:p>
    <w:p w14:paraId="6800EFAD">
      <w:pPr>
        <w:pStyle w:val="13"/>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outlineLvl w:val="0"/>
        <w:rPr>
          <w:rFonts w:ascii="Times New Roman" w:hAnsi="Times New Roman" w:eastAsia="黑体" w:cs="Times New Roman"/>
          <w:color w:val="auto"/>
          <w:sz w:val="32"/>
          <w:szCs w:val="32"/>
          <w:u w:val="none" w:color="auto"/>
          <w:lang w:eastAsia="zh-CN" w:bidi="ar-SA"/>
        </w:rPr>
      </w:pPr>
      <w:r>
        <w:rPr>
          <w:rFonts w:ascii="Times New Roman" w:hAnsi="Times New Roman" w:eastAsia="黑体" w:cs="Times New Roman"/>
          <w:color w:val="auto"/>
          <w:sz w:val="32"/>
          <w:szCs w:val="32"/>
          <w:u w:val="none" w:color="auto"/>
          <w:lang w:val="en-US" w:eastAsia="zh-CN" w:bidi="ar-SA"/>
        </w:rPr>
        <w:t>三、</w:t>
      </w:r>
      <w:r>
        <w:rPr>
          <w:rFonts w:ascii="Times New Roman" w:hAnsi="Times New Roman" w:eastAsia="黑体" w:cs="Times New Roman"/>
          <w:color w:val="auto"/>
          <w:sz w:val="32"/>
          <w:szCs w:val="32"/>
          <w:u w:val="none" w:color="auto"/>
          <w:lang w:bidi="ar-SA"/>
        </w:rPr>
        <w:t>组织</w:t>
      </w:r>
      <w:bookmarkEnd w:id="7"/>
      <w:r>
        <w:rPr>
          <w:rFonts w:ascii="Times New Roman" w:hAnsi="Times New Roman" w:eastAsia="黑体" w:cs="Times New Roman"/>
          <w:color w:val="auto"/>
          <w:sz w:val="32"/>
          <w:szCs w:val="32"/>
          <w:u w:val="none" w:color="auto"/>
          <w:lang w:val="en-US" w:eastAsia="zh-CN" w:bidi="ar-SA"/>
        </w:rPr>
        <w:t>保障</w:t>
      </w:r>
    </w:p>
    <w:p w14:paraId="51DC8D4C">
      <w:pPr>
        <w:pStyle w:val="13"/>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outlineLvl w:val="2"/>
        <w:rPr>
          <w:rFonts w:ascii="Times New Roman" w:hAnsi="Times New Roman" w:eastAsia="楷体_GB2312" w:cs="Times New Roman"/>
          <w:color w:val="auto"/>
          <w:kern w:val="2"/>
          <w:sz w:val="32"/>
          <w:szCs w:val="20"/>
          <w:u w:val="none" w:color="auto"/>
          <w:lang w:val="en-US" w:eastAsia="zh-CN" w:bidi="ar-SA"/>
        </w:rPr>
      </w:pPr>
      <w:r>
        <w:rPr>
          <w:rFonts w:ascii="Times New Roman" w:hAnsi="Times New Roman" w:eastAsia="楷体_GB2312" w:cs="Times New Roman"/>
          <w:color w:val="auto"/>
          <w:kern w:val="2"/>
          <w:sz w:val="32"/>
          <w:szCs w:val="20"/>
          <w:u w:val="none" w:color="auto"/>
          <w:lang w:val="en-US" w:eastAsia="zh-CN" w:bidi="ar-SA"/>
        </w:rPr>
        <w:t>（一）加强组织领导</w:t>
      </w:r>
    </w:p>
    <w:p w14:paraId="6BF75087">
      <w:pPr>
        <w:pStyle w:val="13"/>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outlineLvl w:val="2"/>
        <w:rPr>
          <w:rFonts w:ascii="Times New Roman" w:hAnsi="Times New Roman" w:eastAsia="仿宋_GB2312" w:cs="Times New Roman"/>
          <w:color w:val="auto"/>
          <w:sz w:val="32"/>
          <w:szCs w:val="32"/>
          <w:u w:val="none" w:color="auto"/>
          <w:lang w:bidi="ar-SA"/>
        </w:rPr>
      </w:pPr>
      <w:r>
        <w:rPr>
          <w:rFonts w:ascii="Times New Roman" w:hAnsi="Times New Roman" w:eastAsia="仿宋_GB2312" w:cs="Times New Roman"/>
          <w:color w:val="auto"/>
          <w:sz w:val="32"/>
          <w:szCs w:val="32"/>
          <w:u w:val="none" w:color="auto"/>
          <w:lang w:val="en-US" w:eastAsia="zh-CN" w:bidi="ar-SA"/>
        </w:rPr>
        <w:t>加强党的领导，坚持正确的政治方向，把党的领导落实到促进科技成果转化工作全过程各方面。省委科技办要建立成果转化工作协调推进机制，加强</w:t>
      </w:r>
      <w:r>
        <w:rPr>
          <w:rFonts w:ascii="Times New Roman" w:hAnsi="Times New Roman" w:eastAsia="仿宋_GB2312" w:cs="Times New Roman"/>
          <w:color w:val="auto"/>
          <w:sz w:val="32"/>
          <w:szCs w:val="32"/>
          <w:u w:val="none" w:color="auto"/>
          <w:lang w:bidi="ar-SA"/>
        </w:rPr>
        <w:t>统筹指导和</w:t>
      </w:r>
      <w:r>
        <w:rPr>
          <w:rFonts w:ascii="Times New Roman" w:hAnsi="Times New Roman" w:eastAsia="仿宋_GB2312" w:cs="Times New Roman"/>
          <w:color w:val="auto"/>
          <w:sz w:val="32"/>
          <w:szCs w:val="32"/>
          <w:u w:val="none" w:color="auto"/>
          <w:lang w:val="en-US" w:eastAsia="zh-CN" w:bidi="ar-SA"/>
        </w:rPr>
        <w:t>督办落实</w:t>
      </w:r>
      <w:r>
        <w:rPr>
          <w:rFonts w:ascii="Times New Roman" w:hAnsi="Times New Roman" w:eastAsia="仿宋_GB2312" w:cs="Times New Roman"/>
          <w:color w:val="auto"/>
          <w:sz w:val="32"/>
          <w:szCs w:val="32"/>
          <w:u w:val="none" w:color="auto"/>
          <w:lang w:eastAsia="zh-CN" w:bidi="ar-SA"/>
        </w:rPr>
        <w:t>，</w:t>
      </w:r>
      <w:r>
        <w:rPr>
          <w:rFonts w:ascii="Times New Roman" w:hAnsi="Times New Roman" w:eastAsia="仿宋_GB2312" w:cs="Times New Roman"/>
          <w:color w:val="auto"/>
          <w:sz w:val="32"/>
          <w:szCs w:val="32"/>
          <w:u w:val="none" w:color="auto"/>
          <w:lang w:bidi="ar-SA"/>
        </w:rPr>
        <w:t>每季度召开</w:t>
      </w:r>
      <w:r>
        <w:rPr>
          <w:rFonts w:ascii="Times New Roman" w:hAnsi="Times New Roman" w:eastAsia="仿宋_GB2312" w:cs="Times New Roman"/>
          <w:color w:val="auto"/>
          <w:sz w:val="32"/>
          <w:szCs w:val="32"/>
          <w:u w:val="none" w:color="auto"/>
          <w:lang w:val="en-US" w:eastAsia="zh-CN" w:bidi="ar-SA"/>
        </w:rPr>
        <w:t>调度工作会</w:t>
      </w:r>
      <w:r>
        <w:rPr>
          <w:rFonts w:ascii="Times New Roman" w:hAnsi="Times New Roman" w:eastAsia="仿宋_GB2312" w:cs="Times New Roman"/>
          <w:color w:val="auto"/>
          <w:sz w:val="32"/>
          <w:szCs w:val="32"/>
          <w:u w:val="none" w:color="auto"/>
          <w:lang w:bidi="ar-SA"/>
        </w:rPr>
        <w:t>，</w:t>
      </w:r>
      <w:r>
        <w:rPr>
          <w:rFonts w:ascii="Times New Roman" w:hAnsi="Times New Roman" w:eastAsia="仿宋_GB2312" w:cs="Times New Roman"/>
          <w:color w:val="auto"/>
          <w:sz w:val="32"/>
          <w:szCs w:val="32"/>
          <w:u w:val="none" w:color="auto"/>
          <w:lang w:val="en-US" w:eastAsia="zh-CN" w:bidi="ar-SA"/>
        </w:rPr>
        <w:t>与各有关部门共同指导支持高校院所落实促进科技成果转化各项制度要求，</w:t>
      </w:r>
      <w:r>
        <w:rPr>
          <w:rFonts w:ascii="Times New Roman" w:hAnsi="Times New Roman" w:eastAsia="仿宋_GB2312" w:cs="Times New Roman"/>
          <w:color w:val="auto"/>
          <w:sz w:val="32"/>
          <w:szCs w:val="32"/>
          <w:u w:val="none" w:color="auto"/>
          <w:lang w:bidi="ar-SA"/>
        </w:rPr>
        <w:t>推动解决改革进程中的堵点、难点问题</w:t>
      </w:r>
      <w:r>
        <w:rPr>
          <w:rFonts w:ascii="Times New Roman" w:hAnsi="Times New Roman" w:eastAsia="仿宋_GB2312" w:cs="Times New Roman"/>
          <w:color w:val="auto"/>
          <w:sz w:val="32"/>
          <w:szCs w:val="32"/>
          <w:u w:val="none" w:color="auto"/>
          <w:lang w:eastAsia="zh-CN" w:bidi="ar-SA"/>
        </w:rPr>
        <w:t>，</w:t>
      </w:r>
      <w:r>
        <w:rPr>
          <w:rFonts w:ascii="Times New Roman" w:hAnsi="Times New Roman" w:eastAsia="仿宋_GB2312" w:cs="Times New Roman"/>
          <w:color w:val="auto"/>
          <w:sz w:val="32"/>
          <w:szCs w:val="32"/>
          <w:u w:val="none" w:color="auto"/>
          <w:lang w:val="en-US" w:eastAsia="zh-CN" w:bidi="ar-SA"/>
        </w:rPr>
        <w:t>促进职务科技成果合规、安心转化。</w:t>
      </w:r>
    </w:p>
    <w:p w14:paraId="5C3014F8">
      <w:pPr>
        <w:pStyle w:val="13"/>
        <w:keepNext w:val="0"/>
        <w:keepLines w:val="0"/>
        <w:pageBreakBefore w:val="0"/>
        <w:widowControl w:val="0"/>
        <w:kinsoku/>
        <w:wordWrap/>
        <w:overflowPunct/>
        <w:topLinePunct w:val="0"/>
        <w:autoSpaceDE/>
        <w:autoSpaceDN w:val="0"/>
        <w:bidi w:val="0"/>
        <w:adjustRightInd/>
        <w:snapToGrid/>
        <w:spacing w:line="540" w:lineRule="exact"/>
        <w:ind w:left="0" w:firstLine="640" w:firstLineChars="200"/>
        <w:jc w:val="both"/>
        <w:textAlignment w:val="auto"/>
        <w:rPr>
          <w:rFonts w:ascii="Times New Roman" w:hAnsi="Times New Roman" w:eastAsia="楷体_GB2312" w:cs="Times New Roman"/>
          <w:color w:val="auto"/>
          <w:kern w:val="2"/>
          <w:sz w:val="32"/>
          <w:szCs w:val="20"/>
          <w:u w:val="none" w:color="auto"/>
          <w:lang w:val="en-US" w:eastAsia="zh-CN" w:bidi="ar-SA"/>
        </w:rPr>
      </w:pPr>
      <w:r>
        <w:rPr>
          <w:rFonts w:ascii="Times New Roman" w:hAnsi="Times New Roman" w:eastAsia="楷体_GB2312" w:cs="Times New Roman"/>
          <w:color w:val="auto"/>
          <w:kern w:val="2"/>
          <w:sz w:val="32"/>
          <w:szCs w:val="20"/>
          <w:u w:val="none" w:color="auto"/>
          <w:lang w:val="en-US" w:eastAsia="zh-CN" w:bidi="ar-SA"/>
        </w:rPr>
        <w:t>（二）强化责任落实</w:t>
      </w:r>
    </w:p>
    <w:p w14:paraId="583AE5E8">
      <w:pPr>
        <w:pStyle w:val="13"/>
        <w:keepNext w:val="0"/>
        <w:keepLines w:val="0"/>
        <w:pageBreakBefore w:val="0"/>
        <w:widowControl w:val="0"/>
        <w:kinsoku/>
        <w:wordWrap/>
        <w:overflowPunct/>
        <w:topLinePunct w:val="0"/>
        <w:autoSpaceDE/>
        <w:autoSpaceDN w:val="0"/>
        <w:bidi w:val="0"/>
        <w:adjustRightInd/>
        <w:snapToGrid/>
        <w:spacing w:line="540" w:lineRule="exact"/>
        <w:ind w:left="0" w:firstLine="640" w:firstLineChars="200"/>
        <w:jc w:val="both"/>
        <w:textAlignment w:val="auto"/>
        <w:rPr>
          <w:rFonts w:ascii="Times New Roman" w:hAnsi="Times New Roman" w:eastAsia="仿宋_GB2312" w:cs="Times New Roman"/>
          <w:color w:val="auto"/>
          <w:sz w:val="32"/>
          <w:szCs w:val="32"/>
          <w:highlight w:val="none"/>
          <w:u w:val="none" w:color="auto"/>
          <w:lang w:val="en-US" w:eastAsia="zh-CN" w:bidi="ar-SA"/>
        </w:rPr>
      </w:pPr>
      <w:r>
        <w:rPr>
          <w:rFonts w:ascii="Times New Roman" w:hAnsi="Times New Roman" w:eastAsia="仿宋_GB2312" w:cs="Times New Roman"/>
          <w:color w:val="auto"/>
          <w:sz w:val="32"/>
          <w:szCs w:val="32"/>
          <w:highlight w:val="none"/>
          <w:u w:val="none" w:color="auto"/>
          <w:lang w:val="en-US" w:eastAsia="zh-CN" w:bidi="ar-SA"/>
        </w:rPr>
        <w:t>各高校院所应按照本方案结合实际制定配套文件并抓好贯彻落实。切实履行主体责任，建立健全相关制度，全面落实职务科技成果赋权、资产单列管理、尽职免责等各项工作任务，对本单位存量科技成果进行盘点梳理，及时转变管理模式，做好管理衔接，完善单位内部考核评价体系，强化对科研人员成果转化成效的考核激励。</w:t>
      </w:r>
    </w:p>
    <w:p w14:paraId="670A35EB">
      <w:pPr>
        <w:pStyle w:val="13"/>
        <w:keepNext w:val="0"/>
        <w:keepLines w:val="0"/>
        <w:pageBreakBefore w:val="0"/>
        <w:widowControl w:val="0"/>
        <w:kinsoku/>
        <w:wordWrap/>
        <w:overflowPunct/>
        <w:topLinePunct w:val="0"/>
        <w:autoSpaceDE/>
        <w:autoSpaceDN w:val="0"/>
        <w:bidi w:val="0"/>
        <w:adjustRightInd/>
        <w:snapToGrid/>
        <w:spacing w:line="540" w:lineRule="exact"/>
        <w:ind w:left="0" w:firstLine="640" w:firstLineChars="200"/>
        <w:jc w:val="both"/>
        <w:textAlignment w:val="auto"/>
        <w:rPr>
          <w:rFonts w:ascii="Times New Roman" w:hAnsi="Times New Roman" w:eastAsia="楷体_GB2312" w:cs="Times New Roman"/>
          <w:color w:val="auto"/>
          <w:kern w:val="2"/>
          <w:sz w:val="32"/>
          <w:szCs w:val="20"/>
          <w:u w:val="none" w:color="auto"/>
          <w:lang w:val="en-US" w:eastAsia="zh-CN" w:bidi="ar-SA"/>
        </w:rPr>
      </w:pPr>
      <w:r>
        <w:rPr>
          <w:rFonts w:ascii="Times New Roman" w:hAnsi="Times New Roman" w:eastAsia="楷体_GB2312" w:cs="Times New Roman"/>
          <w:color w:val="auto"/>
          <w:kern w:val="2"/>
          <w:sz w:val="32"/>
          <w:szCs w:val="20"/>
          <w:u w:val="none" w:color="auto"/>
          <w:lang w:val="en-US" w:eastAsia="zh-CN" w:bidi="ar-SA"/>
        </w:rPr>
        <w:t>（三）加强评估推广</w:t>
      </w:r>
    </w:p>
    <w:p w14:paraId="192C1192">
      <w:pPr>
        <w:pStyle w:val="13"/>
        <w:keepNext w:val="0"/>
        <w:keepLines w:val="0"/>
        <w:pageBreakBefore w:val="0"/>
        <w:widowControl w:val="0"/>
        <w:kinsoku/>
        <w:wordWrap/>
        <w:overflowPunct/>
        <w:topLinePunct w:val="0"/>
        <w:autoSpaceDE/>
        <w:autoSpaceDN w:val="0"/>
        <w:bidi w:val="0"/>
        <w:adjustRightInd/>
        <w:snapToGrid/>
        <w:spacing w:line="540" w:lineRule="exact"/>
        <w:ind w:left="0" w:firstLine="640" w:firstLineChars="200"/>
        <w:jc w:val="both"/>
        <w:textAlignment w:val="auto"/>
        <w:rPr>
          <w:rFonts w:ascii="Times New Roman" w:hAnsi="Times New Roman" w:eastAsia="仿宋_GB2312" w:cs="Times New Roman"/>
          <w:color w:val="auto"/>
          <w:sz w:val="32"/>
          <w:szCs w:val="32"/>
          <w:highlight w:val="none"/>
          <w:u w:val="none" w:color="auto"/>
          <w:lang w:val="en-US" w:eastAsia="zh-CN" w:bidi="ar-SA"/>
        </w:rPr>
      </w:pPr>
      <w:r>
        <w:rPr>
          <w:rFonts w:ascii="Times New Roman" w:hAnsi="Times New Roman" w:eastAsia="仿宋_GB2312" w:cs="Times New Roman"/>
          <w:color w:val="auto"/>
          <w:sz w:val="32"/>
          <w:szCs w:val="32"/>
          <w:highlight w:val="none"/>
          <w:u w:val="none" w:color="auto"/>
          <w:lang w:val="en-US" w:eastAsia="zh-CN" w:bidi="ar-SA"/>
        </w:rPr>
        <w:t>省委科技办会同相关部门，加强对落实职务科技成果赋权和单列管理情况的跟踪</w:t>
      </w:r>
      <w:r>
        <w:rPr>
          <w:rFonts w:hint="eastAsia" w:ascii="Times New Roman" w:hAnsi="Times New Roman" w:eastAsia="仿宋_GB2312" w:cs="Times New Roman"/>
          <w:color w:val="auto"/>
          <w:sz w:val="32"/>
          <w:szCs w:val="32"/>
          <w:highlight w:val="none"/>
          <w:u w:val="none" w:color="auto"/>
          <w:lang w:val="en-US" w:eastAsia="zh-CN" w:bidi="ar-SA"/>
        </w:rPr>
        <w:t>监测</w:t>
      </w:r>
      <w:r>
        <w:rPr>
          <w:rFonts w:ascii="Times New Roman" w:hAnsi="Times New Roman" w:eastAsia="仿宋_GB2312" w:cs="Times New Roman"/>
          <w:color w:val="auto"/>
          <w:sz w:val="32"/>
          <w:szCs w:val="32"/>
          <w:highlight w:val="none"/>
          <w:u w:val="none" w:color="auto"/>
          <w:lang w:val="en-US" w:eastAsia="zh-CN" w:bidi="ar-SA"/>
        </w:rPr>
        <w:t>和效果评估，及时发现和协调解决重大问题、防范重大风险。加强宣传和政策解读，</w:t>
      </w:r>
      <w:r>
        <w:rPr>
          <w:rFonts w:ascii="Times New Roman" w:hAnsi="Times New Roman" w:eastAsia="仿宋_GB2312" w:cs="Times New Roman"/>
          <w:color w:val="auto"/>
          <w:sz w:val="32"/>
          <w:szCs w:val="32"/>
          <w:u w:val="none" w:color="auto"/>
          <w:lang w:val="en-US" w:eastAsia="zh-CN" w:bidi="ar-SA"/>
        </w:rPr>
        <w:t>各高校院所</w:t>
      </w:r>
      <w:r>
        <w:rPr>
          <w:rFonts w:ascii="Times New Roman" w:hAnsi="Times New Roman" w:eastAsia="仿宋_GB2312" w:cs="Times New Roman"/>
          <w:color w:val="auto"/>
          <w:sz w:val="32"/>
          <w:szCs w:val="32"/>
          <w:u w:val="none" w:color="auto"/>
          <w:lang w:bidi="ar-SA"/>
        </w:rPr>
        <w:t>要通过现场观摩、调研座谈、案例分享等方式加强交流学习，并及时报送改革</w:t>
      </w:r>
      <w:r>
        <w:rPr>
          <w:rFonts w:ascii="Times New Roman" w:hAnsi="Times New Roman" w:eastAsia="仿宋_GB2312" w:cs="Times New Roman"/>
          <w:color w:val="auto"/>
          <w:sz w:val="32"/>
          <w:szCs w:val="32"/>
          <w:u w:val="none" w:color="auto"/>
          <w:lang w:val="en-US" w:eastAsia="zh-CN" w:bidi="ar-SA"/>
        </w:rPr>
        <w:t>攻坚</w:t>
      </w:r>
      <w:r>
        <w:rPr>
          <w:rFonts w:ascii="Times New Roman" w:hAnsi="Times New Roman" w:eastAsia="仿宋_GB2312" w:cs="Times New Roman"/>
          <w:color w:val="auto"/>
          <w:sz w:val="32"/>
          <w:szCs w:val="32"/>
          <w:u w:val="none" w:color="auto"/>
          <w:lang w:bidi="ar-SA"/>
        </w:rPr>
        <w:t>好经验、好做法、好模式</w:t>
      </w:r>
      <w:r>
        <w:rPr>
          <w:rFonts w:ascii="Times New Roman" w:hAnsi="Times New Roman" w:eastAsia="仿宋_GB2312" w:cs="Times New Roman"/>
          <w:color w:val="auto"/>
          <w:sz w:val="32"/>
          <w:szCs w:val="32"/>
          <w:u w:val="none" w:color="auto"/>
          <w:lang w:eastAsia="zh-CN" w:bidi="ar-SA"/>
        </w:rPr>
        <w:t>，</w:t>
      </w:r>
      <w:r>
        <w:rPr>
          <w:rFonts w:ascii="Times New Roman" w:hAnsi="Times New Roman" w:eastAsia="仿宋_GB2312" w:cs="Times New Roman"/>
          <w:color w:val="auto"/>
          <w:sz w:val="32"/>
          <w:szCs w:val="32"/>
          <w:highlight w:val="none"/>
          <w:u w:val="none" w:color="auto"/>
          <w:lang w:val="en-US" w:eastAsia="zh-CN" w:bidi="ar-SA"/>
        </w:rPr>
        <w:t>及时总结推广典型经验做法。</w:t>
      </w:r>
    </w:p>
    <w:p w14:paraId="1134FFB9">
      <w:pPr>
        <w:pStyle w:val="13"/>
        <w:keepNext w:val="0"/>
        <w:keepLines w:val="0"/>
        <w:pageBreakBefore w:val="0"/>
        <w:widowControl w:val="0"/>
        <w:kinsoku/>
        <w:wordWrap/>
        <w:overflowPunct/>
        <w:topLinePunct w:val="0"/>
        <w:autoSpaceDE/>
        <w:autoSpaceDN w:val="0"/>
        <w:bidi w:val="0"/>
        <w:adjustRightInd/>
        <w:snapToGrid/>
        <w:spacing w:line="540" w:lineRule="exact"/>
        <w:ind w:left="0" w:firstLine="640" w:firstLineChars="200"/>
        <w:jc w:val="both"/>
        <w:textAlignment w:val="auto"/>
        <w:rPr>
          <w:rFonts w:ascii="Times New Roman" w:hAnsi="Times New Roman" w:eastAsia="楷体_GB2312" w:cs="Times New Roman"/>
          <w:color w:val="auto"/>
          <w:kern w:val="2"/>
          <w:sz w:val="32"/>
          <w:szCs w:val="20"/>
          <w:u w:val="none" w:color="auto"/>
          <w:lang w:val="en-US" w:eastAsia="zh-CN" w:bidi="ar-SA"/>
        </w:rPr>
      </w:pPr>
      <w:r>
        <w:rPr>
          <w:rFonts w:ascii="Times New Roman" w:hAnsi="Times New Roman" w:eastAsia="楷体_GB2312" w:cs="Times New Roman"/>
          <w:color w:val="auto"/>
          <w:kern w:val="2"/>
          <w:sz w:val="32"/>
          <w:szCs w:val="20"/>
          <w:u w:val="none" w:color="auto"/>
          <w:lang w:val="en-US" w:eastAsia="zh-CN" w:bidi="ar-SA"/>
        </w:rPr>
        <w:t>（四）抓好贯彻执行</w:t>
      </w:r>
    </w:p>
    <w:p w14:paraId="2221A0CD">
      <w:pPr>
        <w:pStyle w:val="13"/>
        <w:keepNext w:val="0"/>
        <w:keepLines w:val="0"/>
        <w:pageBreakBefore w:val="0"/>
        <w:widowControl w:val="0"/>
        <w:kinsoku/>
        <w:wordWrap/>
        <w:overflowPunct/>
        <w:topLinePunct w:val="0"/>
        <w:autoSpaceDE/>
        <w:autoSpaceDN w:val="0"/>
        <w:bidi w:val="0"/>
        <w:adjustRightInd/>
        <w:snapToGrid/>
        <w:spacing w:line="540" w:lineRule="exact"/>
        <w:ind w:left="0" w:firstLine="640" w:firstLineChars="200"/>
        <w:jc w:val="both"/>
        <w:textAlignment w:val="auto"/>
        <w:rPr>
          <w:rFonts w:ascii="Times New Roman" w:hAnsi="Times New Roman" w:eastAsia="仿宋_GB2312" w:cs="Times New Roman"/>
          <w:color w:val="auto"/>
          <w:sz w:val="32"/>
          <w:szCs w:val="32"/>
          <w:highlight w:val="none"/>
          <w:u w:val="none" w:color="auto"/>
          <w:lang w:val="en-US" w:eastAsia="zh-CN" w:bidi="ar-SA"/>
        </w:rPr>
      </w:pPr>
      <w:r>
        <w:rPr>
          <w:rFonts w:ascii="Times New Roman" w:hAnsi="Times New Roman" w:eastAsia="仿宋_GB2312" w:cs="Times New Roman"/>
          <w:color w:val="auto"/>
          <w:sz w:val="32"/>
          <w:szCs w:val="32"/>
          <w:u w:val="none" w:color="auto"/>
          <w:lang w:bidi="ar-SA"/>
        </w:rPr>
        <w:t>本</w:t>
      </w:r>
      <w:r>
        <w:rPr>
          <w:rFonts w:ascii="Times New Roman" w:hAnsi="Times New Roman" w:eastAsia="仿宋_GB2312" w:cs="Times New Roman"/>
          <w:color w:val="auto"/>
          <w:sz w:val="32"/>
          <w:szCs w:val="32"/>
          <w:u w:val="none" w:color="auto"/>
          <w:lang w:val="en-US" w:eastAsia="zh-CN" w:bidi="ar-SA"/>
        </w:rPr>
        <w:t>方案</w:t>
      </w:r>
      <w:r>
        <w:rPr>
          <w:rFonts w:ascii="Times New Roman" w:hAnsi="Times New Roman" w:eastAsia="仿宋_GB2312" w:cs="Times New Roman"/>
          <w:color w:val="auto"/>
          <w:sz w:val="32"/>
          <w:szCs w:val="32"/>
          <w:u w:val="none" w:color="auto"/>
          <w:lang w:bidi="ar-SA"/>
        </w:rPr>
        <w:t>自发布之日起施行，</w:t>
      </w:r>
      <w:r>
        <w:rPr>
          <w:rFonts w:hint="eastAsia" w:ascii="Times New Roman" w:hAnsi="Times New Roman" w:eastAsia="仿宋_GB2312" w:cs="Times New Roman"/>
          <w:color w:val="auto"/>
          <w:sz w:val="32"/>
          <w:szCs w:val="32"/>
          <w:u w:val="none" w:color="auto"/>
          <w:lang w:val="en-US" w:eastAsia="zh-CN" w:bidi="ar-SA"/>
        </w:rPr>
        <w:t>有效期五年，并根据实施情况适时修订。</w:t>
      </w:r>
      <w:r>
        <w:rPr>
          <w:rFonts w:ascii="Times New Roman" w:hAnsi="Times New Roman" w:eastAsia="仿宋_GB2312" w:cs="Times New Roman"/>
          <w:color w:val="auto"/>
          <w:sz w:val="32"/>
          <w:szCs w:val="32"/>
          <w:u w:val="none" w:color="auto"/>
          <w:lang w:bidi="ar-SA"/>
        </w:rPr>
        <w:t>此前各</w:t>
      </w:r>
      <w:r>
        <w:rPr>
          <w:rFonts w:ascii="Times New Roman" w:hAnsi="Times New Roman" w:eastAsia="仿宋_GB2312" w:cs="Times New Roman"/>
          <w:color w:val="auto"/>
          <w:sz w:val="32"/>
          <w:szCs w:val="32"/>
          <w:u w:val="none" w:color="auto"/>
          <w:lang w:val="en-US" w:eastAsia="zh-CN" w:bidi="ar-SA"/>
        </w:rPr>
        <w:t>高校院所</w:t>
      </w:r>
      <w:r>
        <w:rPr>
          <w:rFonts w:ascii="Times New Roman" w:hAnsi="Times New Roman" w:eastAsia="仿宋_GB2312" w:cs="Times New Roman"/>
          <w:color w:val="auto"/>
          <w:sz w:val="32"/>
          <w:szCs w:val="32"/>
          <w:u w:val="none" w:color="auto"/>
          <w:lang w:bidi="ar-SA"/>
        </w:rPr>
        <w:t>管理制度办法与本</w:t>
      </w:r>
      <w:r>
        <w:rPr>
          <w:rFonts w:ascii="Times New Roman" w:hAnsi="Times New Roman" w:eastAsia="仿宋_GB2312" w:cs="Times New Roman"/>
          <w:color w:val="auto"/>
          <w:sz w:val="32"/>
          <w:szCs w:val="32"/>
          <w:u w:val="none" w:color="auto"/>
          <w:lang w:val="en-US" w:eastAsia="zh-CN" w:bidi="ar-SA"/>
        </w:rPr>
        <w:t>方案</w:t>
      </w:r>
      <w:r>
        <w:rPr>
          <w:rFonts w:ascii="Times New Roman" w:hAnsi="Times New Roman" w:eastAsia="仿宋_GB2312" w:cs="Times New Roman"/>
          <w:color w:val="auto"/>
          <w:sz w:val="32"/>
          <w:szCs w:val="32"/>
          <w:u w:val="none" w:color="auto"/>
          <w:lang w:bidi="ar-SA"/>
        </w:rPr>
        <w:t>不一致的，应依照本</w:t>
      </w:r>
      <w:r>
        <w:rPr>
          <w:rFonts w:ascii="Times New Roman" w:hAnsi="Times New Roman" w:eastAsia="仿宋_GB2312" w:cs="Times New Roman"/>
          <w:color w:val="auto"/>
          <w:sz w:val="32"/>
          <w:szCs w:val="32"/>
          <w:u w:val="none" w:color="auto"/>
          <w:lang w:val="en-US" w:eastAsia="zh-CN" w:bidi="ar-SA"/>
        </w:rPr>
        <w:t>方案</w:t>
      </w:r>
      <w:r>
        <w:rPr>
          <w:rFonts w:ascii="Times New Roman" w:hAnsi="Times New Roman" w:eastAsia="仿宋_GB2312" w:cs="Times New Roman"/>
          <w:color w:val="auto"/>
          <w:sz w:val="32"/>
          <w:szCs w:val="32"/>
          <w:u w:val="none" w:color="auto"/>
          <w:lang w:bidi="ar-SA"/>
        </w:rPr>
        <w:t>执行</w:t>
      </w:r>
      <w:r>
        <w:rPr>
          <w:rFonts w:ascii="Times New Roman" w:hAnsi="Times New Roman" w:eastAsia="仿宋_GB2312" w:cs="Times New Roman"/>
          <w:color w:val="auto"/>
          <w:sz w:val="32"/>
          <w:szCs w:val="32"/>
          <w:u w:val="none" w:color="auto"/>
          <w:lang w:eastAsia="zh-CN" w:bidi="ar-SA"/>
        </w:rPr>
        <w:t>，</w:t>
      </w:r>
      <w:r>
        <w:rPr>
          <w:rFonts w:ascii="Times New Roman" w:hAnsi="Times New Roman" w:eastAsia="仿宋_GB2312" w:cs="Times New Roman"/>
          <w:color w:val="auto"/>
          <w:sz w:val="32"/>
          <w:szCs w:val="32"/>
          <w:u w:val="none" w:color="auto"/>
          <w:lang w:bidi="ar-SA"/>
        </w:rPr>
        <w:t>如遇国家成果转化政策调整的，依最新政策执行。</w:t>
      </w:r>
      <w:r>
        <w:rPr>
          <w:rFonts w:ascii="Times New Roman" w:hAnsi="Times New Roman" w:eastAsia="仿宋_GB2312" w:cs="Times New Roman"/>
          <w:color w:val="auto"/>
          <w:sz w:val="32"/>
          <w:szCs w:val="32"/>
          <w:u w:val="none" w:color="auto"/>
          <w:lang w:val="en-US" w:eastAsia="zh-CN" w:bidi="ar-SA"/>
        </w:rPr>
        <w:t>部属高校院所可参照执行。</w:t>
      </w:r>
      <w:r>
        <w:rPr>
          <w:rFonts w:ascii="Times New Roman" w:hAnsi="Times New Roman" w:eastAsia="仿宋_GB2312" w:cs="Times New Roman"/>
          <w:color w:val="auto"/>
          <w:sz w:val="32"/>
          <w:szCs w:val="32"/>
          <w:highlight w:val="none"/>
          <w:u w:val="none" w:color="auto"/>
          <w:lang w:val="en-US" w:eastAsia="zh-CN" w:bidi="ar-SA"/>
        </w:rPr>
        <w:t>公立医院、国有企业等其他单位的主管部门，可以参照本方案，采取试点先行等方式，稳步推进本领域职务科技成果赋权和资产单列管理，营造我省推动科技成果转化的良好氛围。</w:t>
      </w:r>
    </w:p>
    <w:p w14:paraId="12978887">
      <w:pPr>
        <w:pStyle w:val="13"/>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ascii="Times New Roman" w:hAnsi="Times New Roman" w:eastAsia="仿宋_GB2312" w:cs="Times New Roman"/>
          <w:color w:val="auto"/>
          <w:sz w:val="32"/>
          <w:szCs w:val="32"/>
          <w:u w:val="none" w:color="auto"/>
          <w:lang w:bidi="ar-SA"/>
        </w:rPr>
      </w:pPr>
    </w:p>
    <w:p w14:paraId="79558606">
      <w:pPr>
        <w:pStyle w:val="13"/>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eastAsia" w:ascii="仿宋_GB2312" w:eastAsia="仿宋_GB2312" w:cs="Times New Roman"/>
          <w:color w:val="auto"/>
          <w:sz w:val="32"/>
          <w:szCs w:val="32"/>
          <w:u w:val="none" w:color="auto"/>
          <w:lang w:val="en-US" w:eastAsia="zh-CN" w:bidi="ar-SA"/>
        </w:rPr>
      </w:pPr>
      <w:r>
        <w:rPr>
          <w:rFonts w:hint="eastAsia" w:ascii="仿宋_GB2312" w:eastAsia="仿宋_GB2312" w:cs="Times New Roman"/>
          <w:color w:val="auto"/>
          <w:sz w:val="32"/>
          <w:szCs w:val="32"/>
          <w:u w:val="none" w:color="auto"/>
          <w:lang w:bidi="ar-SA"/>
        </w:rPr>
        <w:t>附件：</w:t>
      </w:r>
      <w:r>
        <w:rPr>
          <w:rFonts w:hint="eastAsia" w:ascii="仿宋_GB2312" w:eastAsia="仿宋_GB2312" w:cs="Times New Roman"/>
          <w:color w:val="auto"/>
          <w:sz w:val="32"/>
          <w:szCs w:val="32"/>
          <w:u w:val="none" w:color="auto"/>
          <w:lang w:val="en-US" w:eastAsia="zh-CN" w:bidi="ar-SA"/>
        </w:rPr>
        <w:t>1.黑龙江省职务科技成果单列管理工作流程</w:t>
      </w:r>
    </w:p>
    <w:p w14:paraId="1DE777BC">
      <w:pPr>
        <w:pStyle w:val="13"/>
        <w:keepNext w:val="0"/>
        <w:keepLines w:val="0"/>
        <w:pageBreakBefore w:val="0"/>
        <w:widowControl w:val="0"/>
        <w:kinsoku/>
        <w:wordWrap/>
        <w:overflowPunct/>
        <w:topLinePunct w:val="0"/>
        <w:autoSpaceDE/>
        <w:autoSpaceDN w:val="0"/>
        <w:bidi w:val="0"/>
        <w:adjustRightInd/>
        <w:snapToGrid/>
        <w:spacing w:line="560" w:lineRule="exact"/>
        <w:ind w:left="0" w:firstLine="1600" w:firstLineChars="500"/>
        <w:jc w:val="both"/>
        <w:textAlignment w:val="auto"/>
        <w:rPr>
          <w:rFonts w:hint="eastAsia" w:ascii="仿宋_GB2312" w:eastAsia="仿宋_GB2312" w:cs="Times New Roman"/>
          <w:color w:val="auto"/>
          <w:sz w:val="32"/>
          <w:szCs w:val="32"/>
          <w:u w:val="none" w:color="auto"/>
          <w:lang w:val="en-US" w:eastAsia="zh-CN" w:bidi="ar-SA"/>
        </w:rPr>
      </w:pPr>
      <w:r>
        <w:rPr>
          <w:rFonts w:hint="eastAsia" w:ascii="仿宋_GB2312" w:eastAsia="仿宋_GB2312" w:cs="Times New Roman"/>
          <w:color w:val="auto"/>
          <w:sz w:val="32"/>
          <w:szCs w:val="32"/>
          <w:u w:val="none" w:color="auto"/>
          <w:lang w:val="en-US" w:eastAsia="zh-CN" w:bidi="ar-SA"/>
        </w:rPr>
        <w:t>2.黑龙江省职务科技成果单列管理操作指引</w:t>
      </w:r>
    </w:p>
    <w:p w14:paraId="6EF154D9">
      <w:pPr>
        <w:pStyle w:val="13"/>
        <w:keepNext w:val="0"/>
        <w:keepLines w:val="0"/>
        <w:pageBreakBefore w:val="0"/>
        <w:widowControl w:val="0"/>
        <w:kinsoku/>
        <w:wordWrap/>
        <w:overflowPunct/>
        <w:topLinePunct w:val="0"/>
        <w:autoSpaceDE/>
        <w:autoSpaceDN w:val="0"/>
        <w:bidi w:val="0"/>
        <w:adjustRightInd/>
        <w:snapToGrid/>
        <w:spacing w:line="560" w:lineRule="exact"/>
        <w:ind w:firstLine="1600" w:firstLineChars="500"/>
        <w:jc w:val="both"/>
        <w:textAlignment w:val="auto"/>
        <w:outlineLvl w:val="1"/>
        <w:rPr>
          <w:rFonts w:hint="eastAsia" w:ascii="仿宋_GB2312" w:eastAsia="仿宋_GB2312" w:cs="Times New Roman"/>
          <w:color w:val="auto"/>
          <w:sz w:val="32"/>
          <w:szCs w:val="32"/>
          <w:u w:val="none" w:color="auto"/>
          <w:lang w:val="en-US" w:eastAsia="zh-CN" w:bidi="ar-SA"/>
        </w:rPr>
      </w:pPr>
      <w:bookmarkStart w:id="8" w:name="_Toc28200"/>
      <w:r>
        <w:rPr>
          <w:rFonts w:hint="eastAsia" w:ascii="仿宋_GB2312" w:eastAsia="仿宋_GB2312" w:cs="Times New Roman"/>
          <w:color w:val="auto"/>
          <w:sz w:val="32"/>
          <w:szCs w:val="32"/>
          <w:u w:val="none" w:color="auto"/>
          <w:lang w:val="en-US" w:eastAsia="zh-CN" w:bidi="ar-SA"/>
        </w:rPr>
        <w:t>3.职务科技成果所有权全部赋权流程</w:t>
      </w:r>
    </w:p>
    <w:bookmarkEnd w:id="8"/>
    <w:p w14:paraId="4C9811C5">
      <w:pPr>
        <w:keepNext w:val="0"/>
        <w:keepLines w:val="0"/>
        <w:pageBreakBefore w:val="0"/>
        <w:widowControl w:val="0"/>
        <w:wordWrap/>
        <w:overflowPunct/>
        <w:topLinePunct w:val="0"/>
        <w:bidi w:val="0"/>
        <w:spacing w:line="560" w:lineRule="exact"/>
        <w:rPr>
          <w:rFonts w:hint="eastAsia" w:ascii="仿宋_GB2312" w:eastAsia="仿宋_GB2312" w:cs="Times New Roman"/>
          <w:u w:val="none" w:color="auto"/>
          <w:lang w:bidi="ar-SA"/>
        </w:rPr>
        <w:sectPr>
          <w:footerReference r:id="rId3" w:type="default"/>
          <w:pgSz w:w="11906" w:h="16838"/>
          <w:pgMar w:top="2098" w:right="1474" w:bottom="1984" w:left="1587" w:header="851" w:footer="1417" w:gutter="0"/>
          <w:pgNumType w:start="1"/>
          <w:cols w:space="720" w:num="1"/>
          <w:docGrid w:type="lines" w:linePitch="312" w:charSpace="0"/>
        </w:sectPr>
      </w:pPr>
    </w:p>
    <w:p w14:paraId="00AA5860">
      <w:pPr>
        <w:rPr>
          <w:rFonts w:hint="eastAsia" w:ascii="仿宋_GB2312" w:eastAsia="仿宋_GB2312" w:cs="Times New Roman"/>
          <w:u w:val="none" w:color="auto"/>
          <w:lang w:val="en-US" w:eastAsia="zh-CN" w:bidi="ar-SA"/>
        </w:rPr>
      </w:pPr>
    </w:p>
    <w:p w14:paraId="09F35618">
      <w:pPr>
        <w:pStyle w:val="16"/>
        <w:rPr>
          <w:rFonts w:ascii="Times New Roman" w:hAnsi="Times New Roman" w:cs="Times New Roman"/>
          <w:u w:val="none" w:color="auto"/>
          <w:lang w:val="en-US" w:eastAsia="zh-CN" w:bidi="ar-SA"/>
        </w:rPr>
        <w:sectPr>
          <w:footerReference r:id="rId4" w:type="default"/>
          <w:type w:val="continuous"/>
          <w:pgSz w:w="11906" w:h="16838"/>
          <w:pgMar w:top="2098" w:right="1474" w:bottom="1984" w:left="1587" w:header="851" w:footer="992" w:gutter="0"/>
          <w:cols w:space="720" w:num="1"/>
          <w:docGrid w:type="lines" w:linePitch="312" w:charSpace="0"/>
        </w:sectPr>
      </w:pPr>
    </w:p>
    <w:p w14:paraId="56CB9FD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2"/>
        <w:rPr>
          <w:rFonts w:hint="eastAsia" w:ascii="黑体" w:eastAsia="黑体" w:cs="Times New Roman"/>
          <w:color w:val="auto"/>
          <w:sz w:val="32"/>
          <w:szCs w:val="32"/>
          <w:u w:val="none" w:color="auto"/>
          <w:lang w:eastAsia="zh-CN" w:bidi="ar-SA"/>
        </w:rPr>
      </w:pPr>
      <w:bookmarkStart w:id="9" w:name="_Toc12539"/>
      <w:r>
        <w:rPr>
          <w:rFonts w:hint="eastAsia" w:ascii="黑体" w:eastAsia="黑体" w:cs="Times New Roman"/>
          <w:color w:val="auto"/>
          <w:spacing w:val="-4"/>
          <w:sz w:val="32"/>
          <w:szCs w:val="32"/>
          <w:u w:val="none" w:color="auto"/>
          <w:lang w:bidi="ar-SA"/>
        </w:rPr>
        <w:t>附件</w:t>
      </w:r>
      <w:r>
        <w:rPr>
          <w:rFonts w:hint="eastAsia" w:ascii="黑体" w:eastAsia="黑体" w:cs="Times New Roman"/>
          <w:color w:val="auto"/>
          <w:spacing w:val="-4"/>
          <w:sz w:val="32"/>
          <w:szCs w:val="32"/>
          <w:u w:val="none" w:color="auto"/>
          <w:lang w:val="en-US" w:eastAsia="zh-CN" w:bidi="ar-SA"/>
        </w:rPr>
        <w:t>1</w:t>
      </w:r>
      <w:r>
        <w:rPr>
          <w:rFonts w:hint="eastAsia" w:ascii="黑体" w:eastAsia="黑体" w:cs="Times New Roman"/>
          <w:color w:val="auto"/>
          <w:spacing w:val="-64"/>
          <w:sz w:val="32"/>
          <w:szCs w:val="32"/>
          <w:u w:val="none" w:color="auto"/>
          <w:lang w:bidi="ar-SA"/>
        </w:rPr>
        <w:t xml:space="preserve"> </w:t>
      </w:r>
    </w:p>
    <w:p w14:paraId="2012CEA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9"/>
        <w:rPr>
          <w:rFonts w:ascii="Times New Roman" w:hAnsi="Times New Roman" w:eastAsia="仿宋_GB2312" w:cs="Times New Roman"/>
          <w:color w:val="auto"/>
          <w:spacing w:val="9"/>
          <w:sz w:val="32"/>
          <w:szCs w:val="32"/>
          <w:u w:val="none" w:color="auto"/>
          <w:lang w:val="en-US" w:eastAsia="zh-CN" w:bidi="ar-SA"/>
        </w:rPr>
      </w:pPr>
    </w:p>
    <w:p w14:paraId="4CD2E28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0"/>
        <w:rPr>
          <w:rFonts w:ascii="Times New Roman" w:hAnsi="Times New Roman" w:eastAsia="方正小标宋简体" w:cs="Times New Roman"/>
          <w:color w:val="auto"/>
          <w:sz w:val="44"/>
          <w:szCs w:val="44"/>
          <w:highlight w:val="none"/>
          <w:u w:val="none" w:color="auto"/>
          <w:lang w:val="en-US" w:eastAsia="zh-CN" w:bidi="ar-SA"/>
        </w:rPr>
      </w:pPr>
      <w:r>
        <w:rPr>
          <w:rFonts w:ascii="Times New Roman" w:hAnsi="Times New Roman" w:eastAsia="方正小标宋简体" w:cs="Times New Roman"/>
          <w:color w:val="auto"/>
          <w:sz w:val="44"/>
          <w:szCs w:val="44"/>
          <w:highlight w:val="none"/>
          <w:u w:val="none" w:color="auto"/>
          <w:lang w:val="en-US" w:eastAsia="zh-CN" w:bidi="ar-SA"/>
        </w:rPr>
        <w:t>黑龙江省职务科技成果单列管理工作流程</w:t>
      </w:r>
    </w:p>
    <w:p w14:paraId="3979391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ascii="Times New Roman" w:hAnsi="Times New Roman" w:eastAsia="微软雅黑" w:cs="Times New Roman"/>
          <w:color w:val="auto"/>
          <w:spacing w:val="9"/>
          <w:sz w:val="44"/>
          <w:szCs w:val="44"/>
          <w:u w:val="none" w:color="auto"/>
          <w:lang w:val="en-US" w:eastAsia="zh-CN" w:bidi="ar-SA"/>
        </w:rPr>
      </w:pPr>
    </w:p>
    <w:p w14:paraId="7FF926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0"/>
        <w:rPr>
          <w:rFonts w:ascii="Times New Roman" w:hAnsi="Times New Roman" w:eastAsia="微软雅黑" w:cs="Times New Roman"/>
          <w:color w:val="auto"/>
          <w:spacing w:val="9"/>
          <w:sz w:val="44"/>
          <w:szCs w:val="44"/>
          <w:u w:val="none" w:color="auto"/>
          <w:lang w:val="en-US" w:eastAsia="zh-CN" w:bidi="ar-SA"/>
        </w:rPr>
      </w:pPr>
      <w:r>
        <w:rPr>
          <w:rFonts w:ascii="Times New Roman" w:hAnsi="Times New Roman" w:eastAsia="微软雅黑" w:cs="Times New Roman"/>
          <w:color w:val="auto"/>
          <w:spacing w:val="9"/>
          <w:sz w:val="44"/>
          <w:szCs w:val="44"/>
          <w:u w:val="none" w:color="auto"/>
          <w:lang w:val="en-US" w:eastAsia="zh-CN" w:bidi="ar-SA"/>
        </w:rPr>
        <w:drawing>
          <wp:inline distT="0" distB="0" distL="114300" distR="114300">
            <wp:extent cx="5612765" cy="5588000"/>
            <wp:effectExtent l="0" t="0" r="42" b="42"/>
            <wp:docPr id="16"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1"/>
                    <pic:cNvPicPr>
                      <a:picLocks noChangeAspect="1"/>
                    </pic:cNvPicPr>
                  </pic:nvPicPr>
                  <pic:blipFill>
                    <a:blip r:embed="rId7"/>
                    <a:srcRect t="4987"/>
                    <a:stretch>
                      <a:fillRect/>
                    </a:stretch>
                  </pic:blipFill>
                  <pic:spPr>
                    <a:xfrm>
                      <a:off x="0" y="0"/>
                      <a:ext cx="5612765" cy="5588000"/>
                    </a:xfrm>
                    <a:prstGeom prst="rect">
                      <a:avLst/>
                    </a:prstGeom>
                    <a:noFill/>
                    <a:ln w="9525" cap="flat" cmpd="sng">
                      <a:noFill/>
                      <a:prstDash val="solid"/>
                      <a:round/>
                    </a:ln>
                  </pic:spPr>
                </pic:pic>
              </a:graphicData>
            </a:graphic>
          </wp:inline>
        </w:drawing>
      </w:r>
    </w:p>
    <w:p w14:paraId="42DF27E9">
      <w:pPr>
        <w:rPr>
          <w:rFonts w:ascii="Times New Roman" w:hAnsi="Times New Roman" w:cs="Times New Roman"/>
          <w:u w:val="none" w:color="auto"/>
          <w:lang w:bidi="ar-SA"/>
        </w:rPr>
        <w:sectPr>
          <w:pgSz w:w="11906" w:h="16838"/>
          <w:pgMar w:top="2098" w:right="1474" w:bottom="1984" w:left="1587" w:header="851" w:footer="1417" w:gutter="0"/>
          <w:cols w:space="720" w:num="1"/>
          <w:docGrid w:type="lines" w:linePitch="312" w:charSpace="0"/>
        </w:sectPr>
      </w:pPr>
    </w:p>
    <w:p w14:paraId="710F812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2"/>
        <w:rPr>
          <w:rFonts w:hint="eastAsia" w:ascii="黑体" w:eastAsia="黑体" w:cs="Times New Roman"/>
          <w:color w:val="auto"/>
          <w:sz w:val="32"/>
          <w:szCs w:val="32"/>
          <w:u w:val="none" w:color="auto"/>
          <w:lang w:eastAsia="zh-CN" w:bidi="ar-SA"/>
        </w:rPr>
      </w:pPr>
      <w:r>
        <w:rPr>
          <w:rFonts w:hint="eastAsia" w:ascii="黑体" w:eastAsia="黑体" w:cs="Times New Roman"/>
          <w:color w:val="auto"/>
          <w:spacing w:val="-4"/>
          <w:sz w:val="32"/>
          <w:szCs w:val="32"/>
          <w:u w:val="none" w:color="auto"/>
          <w:lang w:bidi="ar-SA"/>
        </w:rPr>
        <w:t>附件</w:t>
      </w:r>
      <w:bookmarkEnd w:id="9"/>
      <w:r>
        <w:rPr>
          <w:rFonts w:hint="eastAsia" w:ascii="黑体" w:eastAsia="黑体" w:cs="Times New Roman"/>
          <w:color w:val="auto"/>
          <w:spacing w:val="-4"/>
          <w:sz w:val="32"/>
          <w:szCs w:val="32"/>
          <w:u w:val="none" w:color="auto"/>
          <w:lang w:val="en-US" w:eastAsia="zh-CN" w:bidi="ar-SA"/>
        </w:rPr>
        <w:t>2</w:t>
      </w:r>
      <w:r>
        <w:rPr>
          <w:rFonts w:hint="eastAsia" w:ascii="黑体" w:eastAsia="黑体" w:cs="Times New Roman"/>
          <w:color w:val="auto"/>
          <w:spacing w:val="-64"/>
          <w:sz w:val="32"/>
          <w:szCs w:val="32"/>
          <w:u w:val="none" w:color="auto"/>
          <w:lang w:bidi="ar-SA"/>
        </w:rPr>
        <w:t xml:space="preserve"> </w:t>
      </w:r>
    </w:p>
    <w:p w14:paraId="5CBEB82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9"/>
        <w:rPr>
          <w:rFonts w:ascii="Times New Roman" w:hAnsi="Times New Roman" w:eastAsia="仿宋_GB2312" w:cs="Times New Roman"/>
          <w:color w:val="auto"/>
          <w:spacing w:val="9"/>
          <w:sz w:val="32"/>
          <w:szCs w:val="32"/>
          <w:u w:val="none" w:color="auto"/>
          <w:lang w:val="en-US" w:eastAsia="zh-CN" w:bidi="ar-SA"/>
        </w:rPr>
      </w:pPr>
    </w:p>
    <w:p w14:paraId="7C373F9B">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0"/>
        <w:rPr>
          <w:rFonts w:ascii="Times New Roman" w:hAnsi="Times New Roman" w:eastAsia="方正小标宋简体" w:cs="Times New Roman"/>
          <w:color w:val="auto"/>
          <w:sz w:val="44"/>
          <w:szCs w:val="44"/>
          <w:highlight w:val="none"/>
          <w:u w:val="none" w:color="auto"/>
          <w:lang w:val="en-US" w:eastAsia="zh-CN" w:bidi="ar-SA"/>
        </w:rPr>
      </w:pPr>
      <w:r>
        <w:rPr>
          <w:rFonts w:ascii="Times New Roman" w:hAnsi="Times New Roman" w:eastAsia="方正小标宋简体" w:cs="Times New Roman"/>
          <w:color w:val="auto"/>
          <w:sz w:val="44"/>
          <w:szCs w:val="44"/>
          <w:highlight w:val="none"/>
          <w:u w:val="none" w:color="auto"/>
          <w:lang w:val="en-US" w:eastAsia="zh-CN" w:bidi="ar-SA"/>
        </w:rPr>
        <w:t>黑龙江省职务科技成果单列管理操作指引</w:t>
      </w:r>
    </w:p>
    <w:p w14:paraId="01A2E97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Times New Roman" w:hAnsi="Times New Roman" w:eastAsia="仿宋_GB2312" w:cs="Times New Roman"/>
          <w:snapToGrid w:val="0"/>
          <w:color w:val="auto"/>
          <w:kern w:val="0"/>
          <w:sz w:val="32"/>
          <w:szCs w:val="32"/>
          <w:u w:val="none" w:color="auto"/>
          <w:lang w:val="en-US" w:bidi="ar-SA"/>
        </w:rPr>
      </w:pPr>
    </w:p>
    <w:p w14:paraId="2CCDBB3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ascii="Times New Roman" w:hAnsi="Times New Roman" w:eastAsia="仿宋_GB2312" w:cs="Times New Roman"/>
          <w:snapToGrid w:val="0"/>
          <w:color w:val="auto"/>
          <w:kern w:val="0"/>
          <w:sz w:val="32"/>
          <w:szCs w:val="32"/>
          <w:u w:val="none" w:color="auto"/>
          <w:lang w:val="en-US" w:bidi="ar-SA"/>
        </w:rPr>
      </w:pPr>
      <w:bookmarkStart w:id="10" w:name="_Toc32586"/>
      <w:r>
        <w:rPr>
          <w:rFonts w:ascii="Times New Roman" w:hAnsi="Times New Roman" w:eastAsia="黑体" w:cs="Times New Roman"/>
          <w:color w:val="auto"/>
          <w:sz w:val="32"/>
          <w:szCs w:val="32"/>
          <w:u w:val="none" w:color="auto"/>
          <w:lang w:bidi="ar-SA"/>
        </w:rPr>
        <w:t>第一章 总</w:t>
      </w:r>
      <w:r>
        <w:rPr>
          <w:rFonts w:hint="eastAsia" w:ascii="Times New Roman" w:hAnsi="Times New Roman" w:eastAsia="黑体" w:cs="Times New Roman"/>
          <w:color w:val="auto"/>
          <w:sz w:val="32"/>
          <w:szCs w:val="32"/>
          <w:u w:val="none" w:color="auto"/>
          <w:lang w:val="en-US" w:eastAsia="zh-CN" w:bidi="ar-SA"/>
        </w:rPr>
        <w:t xml:space="preserve">  </w:t>
      </w:r>
      <w:r>
        <w:rPr>
          <w:rFonts w:ascii="Times New Roman" w:hAnsi="Times New Roman" w:eastAsia="黑体" w:cs="Times New Roman"/>
          <w:color w:val="auto"/>
          <w:sz w:val="32"/>
          <w:szCs w:val="32"/>
          <w:u w:val="none" w:color="auto"/>
          <w:lang w:bidi="ar-SA"/>
        </w:rPr>
        <w:t>则</w:t>
      </w:r>
      <w:bookmarkEnd w:id="10"/>
    </w:p>
    <w:p w14:paraId="2851E944">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bidi="ar-SA"/>
        </w:rPr>
      </w:pPr>
      <w:r>
        <w:rPr>
          <w:rFonts w:ascii="Times New Roman" w:hAnsi="Times New Roman" w:eastAsia="仿宋_GB2312" w:cs="Times New Roman"/>
          <w:b/>
          <w:bCs/>
          <w:color w:val="auto"/>
          <w:sz w:val="32"/>
          <w:szCs w:val="32"/>
          <w:u w:val="none" w:color="auto"/>
          <w:lang w:val="en-US" w:bidi="ar-SA"/>
        </w:rPr>
        <w:t>第一条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依据</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bidi="ar-SA"/>
        </w:rPr>
        <w:t>为深入贯彻落实习近平总书记在</w:t>
      </w:r>
      <w:r>
        <w:rPr>
          <w:rFonts w:ascii="Times New Roman" w:hAnsi="Times New Roman" w:eastAsia="仿宋_GB2312" w:cs="Times New Roman"/>
          <w:color w:val="auto"/>
          <w:sz w:val="32"/>
          <w:szCs w:val="32"/>
          <w:u w:val="none" w:color="auto"/>
          <w:lang w:val="en-US" w:eastAsia="zh-CN" w:bidi="ar-SA"/>
        </w:rPr>
        <w:t>我</w:t>
      </w:r>
      <w:r>
        <w:rPr>
          <w:rFonts w:ascii="Times New Roman" w:hAnsi="Times New Roman" w:eastAsia="仿宋_GB2312" w:cs="Times New Roman"/>
          <w:color w:val="auto"/>
          <w:sz w:val="32"/>
          <w:szCs w:val="32"/>
          <w:u w:val="none" w:color="auto"/>
          <w:lang w:bidi="ar-SA"/>
        </w:rPr>
        <w:t>省考察时提出的“提高科技成果落地转化率”重要讲话重要指示精神</w:t>
      </w:r>
      <w:r>
        <w:rPr>
          <w:rFonts w:ascii="Times New Roman" w:hAnsi="Times New Roman" w:eastAsia="仿宋_GB2312" w:cs="Times New Roman"/>
          <w:color w:val="auto"/>
          <w:sz w:val="32"/>
          <w:szCs w:val="32"/>
          <w:u w:val="none" w:color="auto"/>
          <w:lang w:eastAsia="zh-CN" w:bidi="ar-SA"/>
        </w:rPr>
        <w:t>，</w:t>
      </w:r>
      <w:r>
        <w:rPr>
          <w:rFonts w:ascii="Times New Roman" w:hAnsi="Times New Roman" w:eastAsia="仿宋_GB2312" w:cs="Times New Roman"/>
          <w:color w:val="auto"/>
          <w:sz w:val="32"/>
          <w:szCs w:val="32"/>
          <w:u w:val="none" w:color="auto"/>
          <w:lang w:bidi="ar-SA"/>
        </w:rPr>
        <w:t>指导</w:t>
      </w:r>
      <w:r>
        <w:rPr>
          <w:rFonts w:ascii="Times New Roman" w:hAnsi="Times New Roman" w:eastAsia="仿宋_GB2312" w:cs="Times New Roman"/>
          <w:color w:val="auto"/>
          <w:sz w:val="32"/>
          <w:szCs w:val="32"/>
          <w:u w:val="none" w:color="auto"/>
          <w:lang w:val="en-US" w:eastAsia="zh-CN" w:bidi="ar-SA"/>
        </w:rPr>
        <w:t>高校院所</w:t>
      </w:r>
      <w:r>
        <w:rPr>
          <w:rFonts w:ascii="Times New Roman" w:hAnsi="Times New Roman" w:eastAsia="仿宋_GB2312" w:cs="Times New Roman"/>
          <w:color w:val="auto"/>
          <w:sz w:val="32"/>
          <w:szCs w:val="32"/>
          <w:u w:val="none" w:color="auto"/>
          <w:lang w:bidi="ar-SA"/>
        </w:rPr>
        <w:t>依法依规开展职务科技成果单列管理，提升科技成果转化效益，防范国有资产流失和重大违纪违规风险，按照《中华人民共和国促进科技成果转化法》《黑龙江省促进科技成果转化条例》等文件精神，结合</w:t>
      </w:r>
      <w:r>
        <w:rPr>
          <w:rFonts w:ascii="Times New Roman" w:hAnsi="Times New Roman" w:eastAsia="仿宋_GB2312" w:cs="Times New Roman"/>
          <w:color w:val="auto"/>
          <w:sz w:val="32"/>
          <w:szCs w:val="32"/>
          <w:u w:val="none" w:color="auto"/>
          <w:lang w:val="en-US" w:eastAsia="zh-CN" w:bidi="ar-SA"/>
        </w:rPr>
        <w:t>我省</w:t>
      </w:r>
      <w:r>
        <w:rPr>
          <w:rFonts w:ascii="Times New Roman" w:hAnsi="Times New Roman" w:eastAsia="仿宋_GB2312" w:cs="Times New Roman"/>
          <w:color w:val="auto"/>
          <w:sz w:val="32"/>
          <w:szCs w:val="32"/>
          <w:u w:val="none" w:color="auto"/>
          <w:lang w:bidi="ar-SA"/>
        </w:rPr>
        <w:t>实际情况，制定本指引。</w:t>
      </w:r>
    </w:p>
    <w:p w14:paraId="6F408C1A">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bidi="ar-SA"/>
        </w:rPr>
      </w:pPr>
      <w:r>
        <w:rPr>
          <w:rFonts w:ascii="Times New Roman" w:hAnsi="Times New Roman" w:eastAsia="仿宋_GB2312" w:cs="Times New Roman"/>
          <w:b/>
          <w:bCs/>
          <w:color w:val="auto"/>
          <w:sz w:val="32"/>
          <w:szCs w:val="32"/>
          <w:u w:val="none" w:color="auto"/>
          <w:lang w:bidi="ar-SA"/>
        </w:rPr>
        <w:t>第二条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目的</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val="en-US" w:bidi="ar-SA"/>
        </w:rPr>
        <w:t>探索建立一套区别于现行国有资产管理模式且符合科技成果转化规律的</w:t>
      </w:r>
      <w:r>
        <w:rPr>
          <w:rFonts w:ascii="Times New Roman" w:hAnsi="Times New Roman" w:eastAsia="仿宋_GB2312" w:cs="Times New Roman"/>
          <w:color w:val="auto"/>
          <w:sz w:val="32"/>
          <w:szCs w:val="32"/>
          <w:u w:val="none" w:color="auto"/>
          <w:lang w:val="en-US" w:eastAsia="zh-CN" w:bidi="ar-SA"/>
        </w:rPr>
        <w:t>职务科技成果</w:t>
      </w:r>
      <w:r>
        <w:rPr>
          <w:rFonts w:ascii="Times New Roman" w:hAnsi="Times New Roman" w:eastAsia="仿宋_GB2312" w:cs="Times New Roman"/>
          <w:color w:val="auto"/>
          <w:sz w:val="32"/>
          <w:szCs w:val="32"/>
          <w:u w:val="none" w:color="auto"/>
          <w:lang w:val="en-US" w:bidi="ar-SA"/>
        </w:rPr>
        <w:t>管理制度</w:t>
      </w:r>
      <w:r>
        <w:rPr>
          <w:rFonts w:ascii="Times New Roman" w:hAnsi="Times New Roman" w:eastAsia="仿宋_GB2312" w:cs="Times New Roman"/>
          <w:color w:val="auto"/>
          <w:sz w:val="32"/>
          <w:szCs w:val="32"/>
          <w:u w:val="none" w:color="auto"/>
          <w:lang w:val="en-US" w:eastAsia="zh-CN" w:bidi="ar-SA"/>
        </w:rPr>
        <w:t>，最大程度促进科技成果转化。</w:t>
      </w:r>
    </w:p>
    <w:p w14:paraId="162E3194">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bidi="ar-SA"/>
        </w:rPr>
      </w:pPr>
      <w:r>
        <w:rPr>
          <w:rFonts w:ascii="Times New Roman" w:hAnsi="Times New Roman" w:eastAsia="仿宋_GB2312" w:cs="Times New Roman"/>
          <w:b/>
          <w:bCs/>
          <w:color w:val="auto"/>
          <w:sz w:val="32"/>
          <w:szCs w:val="32"/>
          <w:u w:val="none" w:color="auto"/>
          <w:lang w:eastAsia="zh-CN" w:bidi="ar-SA"/>
        </w:rPr>
        <w:t>第三条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原则</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val="en-US" w:eastAsia="zh-CN" w:bidi="ar-SA"/>
        </w:rPr>
        <w:t>高校院所</w:t>
      </w:r>
      <w:r>
        <w:rPr>
          <w:rFonts w:ascii="Times New Roman" w:hAnsi="Times New Roman" w:eastAsia="仿宋_GB2312" w:cs="Times New Roman"/>
          <w:color w:val="auto"/>
          <w:sz w:val="32"/>
          <w:szCs w:val="32"/>
          <w:u w:val="none" w:color="auto"/>
          <w:lang w:bidi="ar-SA"/>
        </w:rPr>
        <w:t>自行研究开发形成的科技成果，并形成专利权、非专利技术等无形资产，属于国有资产。</w:t>
      </w:r>
      <w:r>
        <w:rPr>
          <w:rFonts w:ascii="Times New Roman" w:hAnsi="Times New Roman" w:eastAsia="仿宋_GB2312" w:cs="Times New Roman"/>
          <w:color w:val="auto"/>
          <w:sz w:val="32"/>
          <w:szCs w:val="32"/>
          <w:u w:val="none" w:color="auto"/>
          <w:lang w:eastAsia="zh-CN" w:bidi="ar-SA"/>
        </w:rPr>
        <w:t>高校院所</w:t>
      </w:r>
      <w:r>
        <w:rPr>
          <w:rFonts w:ascii="Times New Roman" w:hAnsi="Times New Roman" w:eastAsia="仿宋_GB2312" w:cs="Times New Roman"/>
          <w:color w:val="auto"/>
          <w:sz w:val="32"/>
          <w:szCs w:val="32"/>
          <w:u w:val="none" w:color="auto"/>
          <w:lang w:bidi="ar-SA"/>
        </w:rPr>
        <w:t>享有科技成果管理自主权，遵循科技成果转化规律，</w:t>
      </w:r>
      <w:r>
        <w:rPr>
          <w:rFonts w:ascii="Times New Roman" w:hAnsi="Times New Roman" w:eastAsia="仿宋_GB2312" w:cs="Times New Roman"/>
          <w:color w:val="auto"/>
          <w:sz w:val="32"/>
          <w:szCs w:val="32"/>
          <w:u w:val="none" w:color="auto"/>
          <w:lang w:val="en-US" w:eastAsia="zh-CN" w:bidi="ar-SA"/>
        </w:rPr>
        <w:t>合法</w:t>
      </w:r>
      <w:r>
        <w:rPr>
          <w:rFonts w:ascii="Times New Roman" w:hAnsi="Times New Roman" w:eastAsia="仿宋_GB2312" w:cs="Times New Roman"/>
          <w:color w:val="auto"/>
          <w:sz w:val="32"/>
          <w:szCs w:val="32"/>
          <w:u w:val="none" w:color="auto"/>
          <w:lang w:bidi="ar-SA"/>
        </w:rPr>
        <w:t>合理合规科学开展科技成果单列管理。</w:t>
      </w:r>
    </w:p>
    <w:p w14:paraId="52A044B1">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eastAsia="zh-CN" w:bidi="ar-SA"/>
        </w:rPr>
      </w:pPr>
      <w:r>
        <w:rPr>
          <w:rFonts w:ascii="Times New Roman" w:hAnsi="Times New Roman" w:eastAsia="仿宋_GB2312" w:cs="Times New Roman"/>
          <w:b/>
          <w:bCs/>
          <w:color w:val="auto"/>
          <w:kern w:val="2"/>
          <w:sz w:val="32"/>
          <w:szCs w:val="32"/>
          <w:u w:val="none" w:color="auto"/>
          <w:lang w:val="en-US" w:eastAsia="zh-CN" w:bidi="ar-SA"/>
        </w:rPr>
        <w:t>第四条</w:t>
      </w:r>
      <w:r>
        <w:rPr>
          <w:rFonts w:ascii="Times New Roman" w:hAnsi="Times New Roman" w:eastAsia="楷体_GB2312" w:cs="Times New Roman"/>
          <w:color w:val="auto"/>
          <w:kern w:val="2"/>
          <w:sz w:val="32"/>
          <w:szCs w:val="32"/>
          <w:u w:val="none" w:color="auto"/>
          <w:lang w:val="en-US" w:bidi="ar-SA"/>
        </w:rPr>
        <w:t>〔</w:t>
      </w:r>
      <w:r>
        <w:rPr>
          <w:rFonts w:ascii="Times New Roman" w:hAnsi="Times New Roman" w:eastAsia="楷体_GB2312" w:cs="Times New Roman"/>
          <w:color w:val="auto"/>
          <w:kern w:val="2"/>
          <w:sz w:val="32"/>
          <w:szCs w:val="32"/>
          <w:u w:val="none" w:color="auto"/>
          <w:lang w:val="en-US" w:eastAsia="zh-CN" w:bidi="ar-SA"/>
        </w:rPr>
        <w:t>范围</w:t>
      </w:r>
      <w:r>
        <w:rPr>
          <w:rFonts w:ascii="Times New Roman" w:hAnsi="Times New Roman" w:eastAsia="楷体_GB2312" w:cs="Times New Roman"/>
          <w:color w:val="auto"/>
          <w:kern w:val="2"/>
          <w:sz w:val="32"/>
          <w:szCs w:val="32"/>
          <w:u w:val="none" w:color="auto"/>
          <w:lang w:val="en-US" w:bidi="ar-SA"/>
        </w:rPr>
        <w:t>〕</w:t>
      </w:r>
      <w:r>
        <w:rPr>
          <w:rFonts w:ascii="Times New Roman" w:hAnsi="Times New Roman" w:eastAsia="仿宋_GB2312" w:cs="Times New Roman"/>
          <w:color w:val="auto"/>
          <w:sz w:val="32"/>
          <w:szCs w:val="32"/>
          <w:u w:val="none" w:color="auto"/>
          <w:lang w:val="en-US" w:eastAsia="zh-CN" w:bidi="ar-SA"/>
        </w:rPr>
        <w:t>本指引所称的职务科技成果是指执行研究开发机构、高等学校和企业等单位的工作任务，或者利用上述单位的物质技术条件所完成的科技成果，主要体现为</w:t>
      </w:r>
      <w:r>
        <w:rPr>
          <w:rFonts w:ascii="Times New Roman" w:hAnsi="Times New Roman" w:eastAsia="仿宋_GB2312" w:cs="Times New Roman"/>
          <w:color w:val="auto"/>
          <w:sz w:val="32"/>
          <w:szCs w:val="32"/>
          <w:u w:val="none" w:color="auto"/>
          <w:lang w:bidi="ar-SA"/>
        </w:rPr>
        <w:t>专利权、软件著作权、</w:t>
      </w:r>
      <w:r>
        <w:rPr>
          <w:rFonts w:ascii="Times New Roman" w:hAnsi="Times New Roman" w:eastAsia="仿宋_GB2312" w:cs="Times New Roman"/>
          <w:color w:val="auto"/>
          <w:sz w:val="32"/>
          <w:szCs w:val="32"/>
          <w:u w:val="none" w:color="auto"/>
          <w:lang w:val="en-US" w:eastAsia="zh-CN" w:bidi="ar-SA"/>
        </w:rPr>
        <w:t>动</w:t>
      </w:r>
      <w:r>
        <w:rPr>
          <w:rFonts w:ascii="Times New Roman" w:hAnsi="Times New Roman" w:eastAsia="仿宋_GB2312" w:cs="Times New Roman"/>
          <w:color w:val="auto"/>
          <w:sz w:val="32"/>
          <w:szCs w:val="32"/>
          <w:u w:val="none" w:color="auto"/>
          <w:lang w:bidi="ar-SA"/>
        </w:rPr>
        <w:t>植物新品种权、集成电路布图设计专有权</w:t>
      </w:r>
      <w:r>
        <w:rPr>
          <w:rFonts w:ascii="Times New Roman" w:hAnsi="Times New Roman" w:eastAsia="仿宋_GB2312" w:cs="Times New Roman"/>
          <w:color w:val="auto"/>
          <w:sz w:val="32"/>
          <w:szCs w:val="32"/>
          <w:u w:val="none" w:color="auto"/>
          <w:lang w:eastAsia="zh-CN" w:bidi="ar-SA"/>
        </w:rPr>
        <w:t>、</w:t>
      </w:r>
      <w:r>
        <w:rPr>
          <w:rFonts w:ascii="Times New Roman" w:hAnsi="Times New Roman" w:eastAsia="仿宋_GB2312" w:cs="Times New Roman"/>
          <w:color w:val="auto"/>
          <w:sz w:val="32"/>
          <w:szCs w:val="32"/>
          <w:u w:val="none" w:color="auto"/>
          <w:lang w:val="en-US" w:eastAsia="zh-CN" w:bidi="ar-SA"/>
        </w:rPr>
        <w:t>新药</w:t>
      </w:r>
      <w:r>
        <w:rPr>
          <w:rFonts w:ascii="Times New Roman" w:hAnsi="Times New Roman" w:eastAsia="仿宋_GB2312" w:cs="Times New Roman"/>
          <w:color w:val="auto"/>
          <w:sz w:val="32"/>
          <w:szCs w:val="32"/>
          <w:u w:val="none" w:color="auto"/>
          <w:lang w:bidi="ar-SA"/>
        </w:rPr>
        <w:t>等按法律程序已申请取得相关知识产权的成果（统称“授权成果”），也包括专有技术</w:t>
      </w:r>
      <w:r>
        <w:rPr>
          <w:rFonts w:ascii="Times New Roman" w:hAnsi="Times New Roman" w:eastAsia="仿宋_GB2312" w:cs="Times New Roman"/>
          <w:color w:val="auto"/>
          <w:sz w:val="32"/>
          <w:szCs w:val="32"/>
          <w:u w:val="none" w:color="auto"/>
          <w:lang w:eastAsia="zh-CN" w:bidi="ar-SA"/>
        </w:rPr>
        <w:t>、</w:t>
      </w:r>
      <w:r>
        <w:rPr>
          <w:rFonts w:ascii="Times New Roman" w:hAnsi="Times New Roman" w:eastAsia="仿宋_GB2312" w:cs="Times New Roman"/>
          <w:color w:val="auto"/>
          <w:sz w:val="32"/>
          <w:szCs w:val="32"/>
          <w:u w:val="none" w:color="auto"/>
          <w:lang w:val="en-US" w:eastAsia="zh-CN" w:bidi="ar-SA"/>
        </w:rPr>
        <w:t>配方</w:t>
      </w:r>
      <w:r>
        <w:rPr>
          <w:rFonts w:ascii="Times New Roman" w:hAnsi="Times New Roman" w:eastAsia="仿宋_GB2312" w:cs="Times New Roman"/>
          <w:color w:val="auto"/>
          <w:sz w:val="32"/>
          <w:szCs w:val="32"/>
          <w:u w:val="none" w:color="auto"/>
          <w:lang w:bidi="ar-SA"/>
        </w:rPr>
        <w:t>等尚未申请但由</w:t>
      </w:r>
      <w:r>
        <w:rPr>
          <w:rFonts w:ascii="Times New Roman" w:hAnsi="Times New Roman" w:eastAsia="仿宋_GB2312" w:cs="Times New Roman"/>
          <w:color w:val="auto"/>
          <w:sz w:val="32"/>
          <w:szCs w:val="32"/>
          <w:u w:val="none" w:color="auto"/>
          <w:lang w:eastAsia="zh-CN" w:bidi="ar-SA"/>
        </w:rPr>
        <w:t>高校院所</w:t>
      </w:r>
      <w:r>
        <w:rPr>
          <w:rFonts w:ascii="Times New Roman" w:hAnsi="Times New Roman" w:eastAsia="仿宋_GB2312" w:cs="Times New Roman"/>
          <w:color w:val="auto"/>
          <w:sz w:val="32"/>
          <w:szCs w:val="32"/>
          <w:u w:val="none" w:color="auto"/>
          <w:lang w:bidi="ar-SA"/>
        </w:rPr>
        <w:t>享有权利的成果（统称“未授权成果”）</w:t>
      </w:r>
      <w:r>
        <w:rPr>
          <w:rFonts w:ascii="Times New Roman" w:hAnsi="Times New Roman" w:eastAsia="仿宋_GB2312" w:cs="Times New Roman"/>
          <w:color w:val="auto"/>
          <w:sz w:val="32"/>
          <w:szCs w:val="32"/>
          <w:u w:val="none" w:color="auto"/>
          <w:lang w:eastAsia="zh-CN" w:bidi="ar-SA"/>
        </w:rPr>
        <w:t>。</w:t>
      </w:r>
    </w:p>
    <w:p w14:paraId="06D39E1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ascii="Times New Roman" w:hAnsi="Times New Roman" w:eastAsia="黑体" w:cs="Times New Roman"/>
          <w:color w:val="auto"/>
          <w:sz w:val="32"/>
          <w:szCs w:val="32"/>
          <w:u w:val="none" w:color="auto"/>
          <w:lang w:bidi="ar-SA"/>
        </w:rPr>
      </w:pPr>
      <w:bookmarkStart w:id="11" w:name="_Toc10032"/>
    </w:p>
    <w:p w14:paraId="59AB70E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ascii="Times New Roman" w:hAnsi="Times New Roman" w:eastAsia="黑体" w:cs="Times New Roman"/>
          <w:color w:val="auto"/>
          <w:sz w:val="32"/>
          <w:szCs w:val="32"/>
          <w:u w:val="none" w:color="auto"/>
          <w:lang w:bidi="ar-SA"/>
        </w:rPr>
      </w:pPr>
      <w:r>
        <w:rPr>
          <w:rFonts w:ascii="Times New Roman" w:hAnsi="Times New Roman" w:eastAsia="黑体" w:cs="Times New Roman"/>
          <w:color w:val="auto"/>
          <w:sz w:val="32"/>
          <w:szCs w:val="32"/>
          <w:u w:val="none" w:color="auto"/>
          <w:lang w:bidi="ar-SA"/>
        </w:rPr>
        <w:t>第</w:t>
      </w:r>
      <w:r>
        <w:rPr>
          <w:rFonts w:ascii="Times New Roman" w:hAnsi="Times New Roman" w:eastAsia="黑体" w:cs="Times New Roman"/>
          <w:color w:val="auto"/>
          <w:sz w:val="32"/>
          <w:szCs w:val="32"/>
          <w:u w:val="none" w:color="auto"/>
          <w:lang w:val="en-US" w:eastAsia="zh-CN" w:bidi="ar-SA"/>
        </w:rPr>
        <w:t>二</w:t>
      </w:r>
      <w:r>
        <w:rPr>
          <w:rFonts w:ascii="Times New Roman" w:hAnsi="Times New Roman" w:eastAsia="黑体" w:cs="Times New Roman"/>
          <w:color w:val="auto"/>
          <w:sz w:val="32"/>
          <w:szCs w:val="32"/>
          <w:u w:val="none" w:color="auto"/>
          <w:lang w:bidi="ar-SA"/>
        </w:rPr>
        <w:t xml:space="preserve">章 </w:t>
      </w:r>
      <w:r>
        <w:rPr>
          <w:rFonts w:ascii="Times New Roman" w:hAnsi="Times New Roman" w:eastAsia="黑体" w:cs="Times New Roman"/>
          <w:color w:val="auto"/>
          <w:sz w:val="32"/>
          <w:szCs w:val="32"/>
          <w:u w:val="none" w:color="auto"/>
          <w:lang w:val="en-US" w:eastAsia="zh-CN" w:bidi="ar-SA"/>
        </w:rPr>
        <w:t>职责分工</w:t>
      </w:r>
      <w:bookmarkEnd w:id="11"/>
    </w:p>
    <w:p w14:paraId="1E4F9A7A">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snapToGrid/>
          <w:color w:val="auto"/>
          <w:kern w:val="0"/>
          <w:sz w:val="32"/>
          <w:szCs w:val="32"/>
          <w:u w:val="none" w:color="auto"/>
          <w:lang w:val="en-US" w:bidi="ar-SA"/>
        </w:rPr>
      </w:pPr>
      <w:r>
        <w:rPr>
          <w:rFonts w:ascii="Times New Roman" w:hAnsi="Times New Roman" w:eastAsia="仿宋_GB2312" w:cs="Times New Roman"/>
          <w:b/>
          <w:bCs/>
          <w:color w:val="auto"/>
          <w:sz w:val="32"/>
          <w:szCs w:val="32"/>
          <w:u w:val="none" w:color="auto"/>
          <w:lang w:val="en-US" w:bidi="ar-SA"/>
        </w:rPr>
        <w:t>第</w:t>
      </w:r>
      <w:r>
        <w:rPr>
          <w:rFonts w:ascii="Times New Roman" w:hAnsi="Times New Roman" w:eastAsia="仿宋_GB2312" w:cs="Times New Roman"/>
          <w:b/>
          <w:bCs/>
          <w:color w:val="auto"/>
          <w:sz w:val="32"/>
          <w:szCs w:val="32"/>
          <w:u w:val="none" w:color="auto"/>
          <w:lang w:val="en-US" w:eastAsia="zh-CN" w:bidi="ar-SA"/>
        </w:rPr>
        <w:t>五</w:t>
      </w:r>
      <w:r>
        <w:rPr>
          <w:rFonts w:ascii="Times New Roman" w:hAnsi="Times New Roman" w:eastAsia="仿宋_GB2312" w:cs="Times New Roman"/>
          <w:b/>
          <w:bCs/>
          <w:color w:val="auto"/>
          <w:sz w:val="32"/>
          <w:szCs w:val="32"/>
          <w:u w:val="none" w:color="auto"/>
          <w:lang w:val="en-US" w:bidi="ar-SA"/>
        </w:rPr>
        <w:t>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主体</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snapToGrid/>
          <w:color w:val="auto"/>
          <w:kern w:val="0"/>
          <w:sz w:val="32"/>
          <w:szCs w:val="32"/>
          <w:u w:val="none" w:color="auto"/>
          <w:lang w:val="en-US" w:bidi="ar-SA"/>
        </w:rPr>
        <w:t>本指引适用于</w:t>
      </w:r>
      <w:r>
        <w:rPr>
          <w:rFonts w:ascii="Times New Roman" w:hAnsi="Times New Roman" w:eastAsia="仿宋_GB2312" w:cs="Times New Roman"/>
          <w:color w:val="auto"/>
          <w:sz w:val="32"/>
          <w:szCs w:val="32"/>
          <w:highlight w:val="none"/>
          <w:u w:val="none" w:color="auto"/>
          <w:lang w:val="en-US" w:eastAsia="zh-CN" w:bidi="ar-SA"/>
        </w:rPr>
        <w:t>我省有科研活动的高校院所，以及省内其</w:t>
      </w:r>
      <w:r>
        <w:rPr>
          <w:rFonts w:hint="eastAsia" w:ascii="Times New Roman" w:hAnsi="Times New Roman" w:eastAsia="仿宋_GB2312" w:cs="Times New Roman"/>
          <w:color w:val="auto"/>
          <w:sz w:val="32"/>
          <w:szCs w:val="32"/>
          <w:highlight w:val="none"/>
          <w:u w:val="none" w:color="auto"/>
          <w:lang w:val="en-US" w:eastAsia="zh-CN" w:bidi="ar-SA"/>
        </w:rPr>
        <w:t>他</w:t>
      </w:r>
      <w:r>
        <w:rPr>
          <w:rFonts w:ascii="Times New Roman" w:hAnsi="Times New Roman" w:eastAsia="仿宋_GB2312" w:cs="Times New Roman"/>
          <w:color w:val="auto"/>
          <w:sz w:val="32"/>
          <w:szCs w:val="32"/>
          <w:highlight w:val="none"/>
          <w:u w:val="none" w:color="auto"/>
          <w:lang w:bidi="ar-SA"/>
        </w:rPr>
        <w:t>改革意愿强烈、</w:t>
      </w:r>
      <w:r>
        <w:rPr>
          <w:rFonts w:ascii="Times New Roman" w:hAnsi="Times New Roman" w:eastAsia="仿宋_GB2312" w:cs="Times New Roman"/>
          <w:color w:val="auto"/>
          <w:sz w:val="32"/>
          <w:szCs w:val="32"/>
          <w:highlight w:val="none"/>
          <w:u w:val="none" w:color="auto"/>
          <w:lang w:val="en-US" w:eastAsia="zh-CN" w:bidi="ar-SA"/>
        </w:rPr>
        <w:t>成果</w:t>
      </w:r>
      <w:r>
        <w:rPr>
          <w:rFonts w:ascii="Times New Roman" w:hAnsi="Times New Roman" w:eastAsia="仿宋_GB2312" w:cs="Times New Roman"/>
          <w:color w:val="auto"/>
          <w:sz w:val="32"/>
          <w:szCs w:val="32"/>
          <w:highlight w:val="none"/>
          <w:u w:val="none" w:color="auto"/>
          <w:lang w:bidi="ar-SA"/>
        </w:rPr>
        <w:t>转化机制</w:t>
      </w:r>
      <w:r>
        <w:rPr>
          <w:rFonts w:ascii="Times New Roman" w:hAnsi="Times New Roman" w:eastAsia="仿宋_GB2312" w:cs="Times New Roman"/>
          <w:color w:val="auto"/>
          <w:sz w:val="32"/>
          <w:szCs w:val="32"/>
          <w:highlight w:val="none"/>
          <w:u w:val="none" w:color="auto"/>
          <w:lang w:val="en-US" w:eastAsia="zh-CN" w:bidi="ar-SA"/>
        </w:rPr>
        <w:t>初步</w:t>
      </w:r>
      <w:r>
        <w:rPr>
          <w:rFonts w:ascii="Times New Roman" w:hAnsi="Times New Roman" w:eastAsia="仿宋_GB2312" w:cs="Times New Roman"/>
          <w:color w:val="auto"/>
          <w:sz w:val="32"/>
          <w:szCs w:val="32"/>
          <w:highlight w:val="none"/>
          <w:u w:val="none" w:color="auto"/>
          <w:lang w:bidi="ar-SA"/>
        </w:rPr>
        <w:t>完备、科技成果转化</w:t>
      </w:r>
      <w:r>
        <w:rPr>
          <w:rFonts w:ascii="Times New Roman" w:hAnsi="Times New Roman" w:eastAsia="仿宋_GB2312" w:cs="Times New Roman"/>
          <w:color w:val="auto"/>
          <w:sz w:val="32"/>
          <w:szCs w:val="32"/>
          <w:highlight w:val="none"/>
          <w:u w:val="none" w:color="auto"/>
          <w:lang w:val="en-US" w:eastAsia="zh-CN" w:bidi="ar-SA"/>
        </w:rPr>
        <w:t>潜力较大</w:t>
      </w:r>
      <w:r>
        <w:rPr>
          <w:rFonts w:ascii="Times New Roman" w:hAnsi="Times New Roman" w:eastAsia="仿宋_GB2312" w:cs="Times New Roman"/>
          <w:color w:val="auto"/>
          <w:sz w:val="32"/>
          <w:szCs w:val="32"/>
          <w:highlight w:val="none"/>
          <w:u w:val="none" w:color="auto"/>
          <w:lang w:bidi="ar-SA"/>
        </w:rPr>
        <w:t>的</w:t>
      </w:r>
      <w:r>
        <w:rPr>
          <w:rFonts w:ascii="Times New Roman" w:hAnsi="Times New Roman" w:eastAsia="仿宋_GB2312" w:cs="Times New Roman"/>
          <w:color w:val="auto"/>
          <w:sz w:val="32"/>
          <w:szCs w:val="32"/>
          <w:highlight w:val="none"/>
          <w:u w:val="none" w:color="auto"/>
          <w:lang w:val="en-US" w:eastAsia="zh-CN" w:bidi="ar-SA"/>
        </w:rPr>
        <w:t>高校院所</w:t>
      </w:r>
      <w:r>
        <w:rPr>
          <w:rFonts w:ascii="Times New Roman" w:hAnsi="Times New Roman" w:eastAsia="仿宋_GB2312" w:cs="Times New Roman"/>
          <w:snapToGrid/>
          <w:color w:val="auto"/>
          <w:kern w:val="0"/>
          <w:sz w:val="32"/>
          <w:szCs w:val="32"/>
          <w:u w:val="none" w:color="auto"/>
          <w:lang w:val="en-US" w:eastAsia="zh-CN" w:bidi="ar-SA"/>
        </w:rPr>
        <w:t>，</w:t>
      </w:r>
      <w:r>
        <w:rPr>
          <w:rFonts w:ascii="Times New Roman" w:hAnsi="Times New Roman" w:eastAsia="仿宋_GB2312" w:cs="Times New Roman"/>
          <w:snapToGrid/>
          <w:color w:val="auto"/>
          <w:kern w:val="0"/>
          <w:sz w:val="32"/>
          <w:szCs w:val="32"/>
          <w:u w:val="none" w:color="auto"/>
          <w:lang w:val="en-US" w:bidi="ar-SA"/>
        </w:rPr>
        <w:t>应强化科技成果转化工作</w:t>
      </w:r>
      <w:r>
        <w:rPr>
          <w:rFonts w:ascii="Times New Roman" w:hAnsi="Times New Roman" w:eastAsia="仿宋_GB2312" w:cs="Times New Roman"/>
          <w:snapToGrid/>
          <w:color w:val="auto"/>
          <w:kern w:val="0"/>
          <w:sz w:val="32"/>
          <w:szCs w:val="32"/>
          <w:u w:val="none" w:color="auto"/>
          <w:lang w:val="en-US" w:eastAsia="zh-CN" w:bidi="ar-SA"/>
        </w:rPr>
        <w:t>领导</w:t>
      </w:r>
      <w:r>
        <w:rPr>
          <w:rFonts w:ascii="Times New Roman" w:hAnsi="Times New Roman" w:eastAsia="仿宋_GB2312" w:cs="Times New Roman"/>
          <w:snapToGrid/>
          <w:color w:val="auto"/>
          <w:kern w:val="0"/>
          <w:sz w:val="32"/>
          <w:szCs w:val="32"/>
          <w:u w:val="none" w:color="auto"/>
          <w:lang w:val="en-US" w:bidi="ar-SA"/>
        </w:rPr>
        <w:t>小组</w:t>
      </w:r>
      <w:r>
        <w:rPr>
          <w:rFonts w:ascii="Times New Roman" w:hAnsi="Times New Roman" w:eastAsia="仿宋_GB2312" w:cs="Times New Roman"/>
          <w:snapToGrid/>
          <w:color w:val="auto"/>
          <w:kern w:val="0"/>
          <w:sz w:val="32"/>
          <w:szCs w:val="32"/>
          <w:u w:val="none" w:color="auto"/>
          <w:lang w:val="en-US" w:eastAsia="zh-CN" w:bidi="ar-SA"/>
        </w:rPr>
        <w:t>主体责任，</w:t>
      </w:r>
      <w:r>
        <w:rPr>
          <w:rFonts w:ascii="Times New Roman" w:hAnsi="Times New Roman" w:eastAsia="仿宋_GB2312" w:cs="Times New Roman"/>
          <w:snapToGrid/>
          <w:color w:val="auto"/>
          <w:kern w:val="0"/>
          <w:sz w:val="32"/>
          <w:szCs w:val="32"/>
          <w:u w:val="none" w:color="auto"/>
          <w:lang w:val="en-US" w:bidi="ar-SA"/>
        </w:rPr>
        <w:t>建立健全职务科技成果转化重大事项领导班子集体决策制度，</w:t>
      </w:r>
      <w:r>
        <w:rPr>
          <w:rFonts w:ascii="Times New Roman" w:hAnsi="Times New Roman" w:eastAsia="仿宋_GB2312" w:cs="Times New Roman"/>
          <w:snapToGrid/>
          <w:color w:val="auto"/>
          <w:kern w:val="0"/>
          <w:sz w:val="32"/>
          <w:szCs w:val="32"/>
          <w:u w:val="none" w:color="auto"/>
          <w:lang w:val="en-US" w:eastAsia="zh-CN" w:bidi="ar-SA"/>
        </w:rPr>
        <w:t>发挥职能管理部门资源整合优势，</w:t>
      </w:r>
      <w:r>
        <w:rPr>
          <w:rFonts w:ascii="Times New Roman" w:hAnsi="Times New Roman" w:eastAsia="仿宋_GB2312" w:cs="Times New Roman"/>
          <w:snapToGrid/>
          <w:color w:val="auto"/>
          <w:kern w:val="0"/>
          <w:sz w:val="32"/>
          <w:szCs w:val="32"/>
          <w:u w:val="none" w:color="auto"/>
          <w:lang w:val="en-US" w:bidi="ar-SA"/>
        </w:rPr>
        <w:t>协调科研、财务、国资、纪检等部门，根据职务科技成果的研究和开发特点及属性，对科技成果进行台账管理，对无形资产开展资产确认、使用、处置等过程</w:t>
      </w:r>
      <w:r>
        <w:rPr>
          <w:rFonts w:ascii="Times New Roman" w:hAnsi="Times New Roman" w:eastAsia="仿宋_GB2312" w:cs="Times New Roman"/>
          <w:snapToGrid/>
          <w:color w:val="auto"/>
          <w:kern w:val="0"/>
          <w:sz w:val="32"/>
          <w:szCs w:val="32"/>
          <w:u w:val="none" w:color="auto"/>
          <w:lang w:val="en-US" w:eastAsia="zh-CN" w:bidi="ar-SA"/>
        </w:rPr>
        <w:t>管理。</w:t>
      </w:r>
      <w:r>
        <w:rPr>
          <w:rFonts w:ascii="Times New Roman" w:hAnsi="Times New Roman" w:eastAsia="仿宋_GB2312" w:cs="Times New Roman"/>
          <w:snapToGrid/>
          <w:color w:val="auto"/>
          <w:kern w:val="0"/>
          <w:sz w:val="32"/>
          <w:szCs w:val="32"/>
          <w:u w:val="none" w:color="auto"/>
          <w:lang w:val="en-US" w:bidi="ar-SA"/>
        </w:rPr>
        <w:t>其他</w:t>
      </w:r>
      <w:r>
        <w:rPr>
          <w:rFonts w:ascii="Times New Roman" w:hAnsi="Times New Roman" w:eastAsia="仿宋_GB2312" w:cs="Times New Roman"/>
          <w:snapToGrid/>
          <w:color w:val="auto"/>
          <w:kern w:val="0"/>
          <w:sz w:val="32"/>
          <w:szCs w:val="32"/>
          <w:u w:val="none" w:color="auto"/>
          <w:lang w:val="en-US" w:eastAsia="zh-CN" w:bidi="ar-SA"/>
        </w:rPr>
        <w:t>部</w:t>
      </w:r>
      <w:r>
        <w:rPr>
          <w:rFonts w:hint="eastAsia" w:ascii="Times New Roman" w:hAnsi="Times New Roman" w:eastAsia="仿宋_GB2312" w:cs="Times New Roman"/>
          <w:snapToGrid/>
          <w:color w:val="auto"/>
          <w:kern w:val="0"/>
          <w:sz w:val="32"/>
          <w:szCs w:val="32"/>
          <w:u w:val="none" w:color="auto"/>
          <w:lang w:val="en-US" w:eastAsia="zh-CN" w:bidi="ar-SA"/>
        </w:rPr>
        <w:t>属</w:t>
      </w:r>
      <w:r>
        <w:rPr>
          <w:rFonts w:ascii="Times New Roman" w:hAnsi="Times New Roman" w:eastAsia="仿宋_GB2312" w:cs="Times New Roman"/>
          <w:snapToGrid/>
          <w:color w:val="auto"/>
          <w:kern w:val="0"/>
          <w:sz w:val="32"/>
          <w:szCs w:val="32"/>
          <w:u w:val="none" w:color="auto"/>
          <w:lang w:val="en-US" w:eastAsia="zh-CN" w:bidi="ar-SA"/>
        </w:rPr>
        <w:t>院校、</w:t>
      </w:r>
      <w:r>
        <w:rPr>
          <w:rFonts w:ascii="Times New Roman" w:hAnsi="Times New Roman" w:eastAsia="仿宋_GB2312" w:cs="Times New Roman"/>
          <w:snapToGrid/>
          <w:color w:val="auto"/>
          <w:kern w:val="0"/>
          <w:sz w:val="32"/>
          <w:szCs w:val="32"/>
          <w:u w:val="none" w:color="auto"/>
          <w:lang w:val="en-US" w:bidi="ar-SA"/>
        </w:rPr>
        <w:t>科研事业单位可参照执行。</w:t>
      </w:r>
    </w:p>
    <w:p w14:paraId="27B5471C">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val="en-US" w:bidi="ar-SA"/>
        </w:rPr>
      </w:pPr>
      <w:r>
        <w:rPr>
          <w:rFonts w:ascii="Times New Roman" w:hAnsi="Times New Roman" w:eastAsia="仿宋_GB2312" w:cs="Times New Roman"/>
          <w:b/>
          <w:bCs/>
          <w:color w:val="auto"/>
          <w:sz w:val="32"/>
          <w:szCs w:val="32"/>
          <w:u w:val="none" w:color="auto"/>
          <w:lang w:val="en-US" w:bidi="ar-SA"/>
        </w:rPr>
        <w:t>第六条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转化部门</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snapToGrid/>
          <w:color w:val="auto"/>
          <w:kern w:val="0"/>
          <w:sz w:val="32"/>
          <w:szCs w:val="32"/>
          <w:u w:val="none" w:color="auto"/>
          <w:lang w:val="en-US" w:eastAsia="zh-CN" w:bidi="ar-SA"/>
        </w:rPr>
        <w:t>高校院所</w:t>
      </w:r>
      <w:r>
        <w:rPr>
          <w:rFonts w:ascii="Times New Roman" w:hAnsi="Times New Roman" w:eastAsia="仿宋_GB2312" w:cs="Times New Roman"/>
          <w:snapToGrid/>
          <w:color w:val="auto"/>
          <w:kern w:val="0"/>
          <w:sz w:val="32"/>
          <w:szCs w:val="32"/>
          <w:u w:val="none" w:color="auto"/>
          <w:lang w:val="en-US" w:bidi="ar-SA"/>
        </w:rPr>
        <w:t>成果转化</w:t>
      </w:r>
      <w:r>
        <w:rPr>
          <w:rFonts w:ascii="Times New Roman" w:hAnsi="Times New Roman" w:eastAsia="仿宋_GB2312" w:cs="Times New Roman"/>
          <w:snapToGrid/>
          <w:color w:val="auto"/>
          <w:kern w:val="0"/>
          <w:sz w:val="32"/>
          <w:szCs w:val="32"/>
          <w:u w:val="none" w:color="auto"/>
          <w:lang w:val="en-US" w:eastAsia="zh-CN" w:bidi="ar-SA"/>
        </w:rPr>
        <w:t>相关</w:t>
      </w:r>
      <w:r>
        <w:rPr>
          <w:rFonts w:ascii="Times New Roman" w:hAnsi="Times New Roman" w:eastAsia="仿宋_GB2312" w:cs="Times New Roman"/>
          <w:snapToGrid/>
          <w:color w:val="auto"/>
          <w:kern w:val="0"/>
          <w:sz w:val="32"/>
          <w:szCs w:val="32"/>
          <w:u w:val="none" w:color="auto"/>
          <w:lang w:val="en-US" w:bidi="ar-SA"/>
        </w:rPr>
        <w:t>部门应遵循职务科技成果转化</w:t>
      </w:r>
      <w:r>
        <w:rPr>
          <w:rFonts w:ascii="Times New Roman" w:hAnsi="Times New Roman" w:eastAsia="仿宋_GB2312" w:cs="Times New Roman"/>
          <w:snapToGrid/>
          <w:color w:val="auto"/>
          <w:kern w:val="0"/>
          <w:sz w:val="32"/>
          <w:szCs w:val="32"/>
          <w:u w:val="none" w:color="auto"/>
          <w:lang w:val="en-US" w:eastAsia="zh-CN" w:bidi="ar-SA"/>
        </w:rPr>
        <w:t>规律，</w:t>
      </w:r>
      <w:r>
        <w:rPr>
          <w:rFonts w:ascii="Times New Roman" w:hAnsi="Times New Roman" w:eastAsia="仿宋_GB2312" w:cs="Times New Roman"/>
          <w:snapToGrid/>
          <w:color w:val="auto"/>
          <w:kern w:val="0"/>
          <w:sz w:val="32"/>
          <w:szCs w:val="32"/>
          <w:u w:val="none" w:color="auto"/>
          <w:lang w:val="en-US" w:bidi="ar-SA"/>
        </w:rPr>
        <w:t>负责职务科技成果</w:t>
      </w:r>
      <w:r>
        <w:rPr>
          <w:rFonts w:ascii="Times New Roman" w:hAnsi="Times New Roman" w:eastAsia="仿宋_GB2312" w:cs="Times New Roman"/>
          <w:snapToGrid/>
          <w:color w:val="auto"/>
          <w:kern w:val="0"/>
          <w:sz w:val="32"/>
          <w:szCs w:val="32"/>
          <w:u w:val="none" w:color="auto"/>
          <w:lang w:val="en-US" w:eastAsia="zh-CN" w:bidi="ar-SA"/>
        </w:rPr>
        <w:t>单列管理工作，</w:t>
      </w:r>
      <w:r>
        <w:rPr>
          <w:rFonts w:ascii="Times New Roman" w:hAnsi="Times New Roman" w:eastAsia="仿宋_GB2312" w:cs="Times New Roman"/>
          <w:snapToGrid/>
          <w:color w:val="auto"/>
          <w:kern w:val="0"/>
          <w:sz w:val="32"/>
          <w:szCs w:val="32"/>
          <w:u w:val="none" w:color="auto"/>
          <w:lang w:val="en-US" w:bidi="ar-SA"/>
        </w:rPr>
        <w:t>负责职务科技成果的日常登记和管理，建立单列管理台账</w:t>
      </w:r>
      <w:r>
        <w:rPr>
          <w:rFonts w:ascii="Times New Roman" w:hAnsi="Times New Roman" w:eastAsia="仿宋_GB2312" w:cs="Times New Roman"/>
          <w:snapToGrid/>
          <w:color w:val="auto"/>
          <w:kern w:val="0"/>
          <w:sz w:val="32"/>
          <w:szCs w:val="32"/>
          <w:u w:val="none" w:color="auto"/>
          <w:lang w:val="en-US" w:eastAsia="zh-CN" w:bidi="ar-SA"/>
        </w:rPr>
        <w:t>。</w:t>
      </w:r>
      <w:r>
        <w:rPr>
          <w:rFonts w:ascii="Times New Roman" w:hAnsi="Times New Roman" w:eastAsia="仿宋_GB2312" w:cs="Times New Roman"/>
          <w:snapToGrid/>
          <w:color w:val="auto"/>
          <w:kern w:val="0"/>
          <w:sz w:val="32"/>
          <w:szCs w:val="32"/>
          <w:u w:val="none" w:color="auto"/>
          <w:lang w:val="en-US" w:bidi="ar-SA"/>
        </w:rPr>
        <w:t>有条件的</w:t>
      </w:r>
      <w:r>
        <w:rPr>
          <w:rFonts w:ascii="Times New Roman" w:hAnsi="Times New Roman" w:eastAsia="仿宋_GB2312" w:cs="Times New Roman"/>
          <w:snapToGrid/>
          <w:color w:val="auto"/>
          <w:kern w:val="0"/>
          <w:sz w:val="32"/>
          <w:szCs w:val="32"/>
          <w:u w:val="none" w:color="auto"/>
          <w:lang w:val="en-US" w:eastAsia="zh-CN" w:bidi="ar-SA"/>
        </w:rPr>
        <w:t>高校院所</w:t>
      </w:r>
      <w:r>
        <w:rPr>
          <w:rFonts w:ascii="Times New Roman" w:hAnsi="Times New Roman" w:eastAsia="仿宋_GB2312" w:cs="Times New Roman"/>
          <w:snapToGrid/>
          <w:color w:val="auto"/>
          <w:kern w:val="0"/>
          <w:sz w:val="32"/>
          <w:szCs w:val="32"/>
          <w:u w:val="none" w:color="auto"/>
          <w:lang w:val="en-US" w:bidi="ar-SA"/>
        </w:rPr>
        <w:t>可选</w:t>
      </w:r>
      <w:r>
        <w:rPr>
          <w:rFonts w:hint="eastAsia" w:ascii="仿宋_GB2312" w:eastAsia="仿宋_GB2312" w:cs="Times New Roman"/>
          <w:snapToGrid/>
          <w:color w:val="auto"/>
          <w:kern w:val="0"/>
          <w:sz w:val="32"/>
          <w:szCs w:val="32"/>
          <w:u w:val="none" w:color="auto"/>
          <w:lang w:val="en-US" w:bidi="ar-SA"/>
        </w:rPr>
        <w:t>择负责科技成果转移转化工作的</w:t>
      </w:r>
      <w:r>
        <w:rPr>
          <w:rFonts w:hint="eastAsia" w:ascii="仿宋_GB2312" w:eastAsia="仿宋_GB2312" w:cs="Times New Roman"/>
          <w:snapToGrid/>
          <w:color w:val="auto"/>
          <w:kern w:val="0"/>
          <w:sz w:val="32"/>
          <w:szCs w:val="32"/>
          <w:u w:val="none" w:color="auto"/>
          <w:lang w:val="en-US" w:eastAsia="zh-CN" w:bidi="ar-SA"/>
        </w:rPr>
        <w:t>全流程服务机构平台公司</w:t>
      </w:r>
      <w:r>
        <w:rPr>
          <w:rFonts w:hint="eastAsia" w:ascii="仿宋_GB2312" w:eastAsia="仿宋_GB2312" w:cs="Times New Roman"/>
          <w:snapToGrid/>
          <w:color w:val="auto"/>
          <w:kern w:val="0"/>
          <w:sz w:val="32"/>
          <w:szCs w:val="32"/>
          <w:u w:val="none" w:color="auto"/>
          <w:lang w:val="en-US" w:bidi="ar-SA"/>
        </w:rPr>
        <w:t>作为持股平台，代表</w:t>
      </w:r>
      <w:r>
        <w:rPr>
          <w:rFonts w:hint="eastAsia" w:ascii="仿宋_GB2312" w:eastAsia="仿宋_GB2312" w:cs="Times New Roman"/>
          <w:snapToGrid/>
          <w:color w:val="auto"/>
          <w:kern w:val="0"/>
          <w:sz w:val="32"/>
          <w:szCs w:val="32"/>
          <w:u w:val="none" w:color="auto"/>
          <w:lang w:val="en-US" w:eastAsia="zh-CN" w:bidi="ar-SA"/>
        </w:rPr>
        <w:t>高校院所</w:t>
      </w:r>
      <w:r>
        <w:rPr>
          <w:rFonts w:hint="eastAsia" w:ascii="仿宋_GB2312" w:eastAsia="仿宋_GB2312" w:cs="Times New Roman"/>
          <w:snapToGrid/>
          <w:color w:val="auto"/>
          <w:kern w:val="0"/>
          <w:sz w:val="32"/>
          <w:szCs w:val="32"/>
          <w:u w:val="none" w:color="auto"/>
          <w:lang w:val="en-US" w:bidi="ar-SA"/>
        </w:rPr>
        <w:t>持有、管理成果转化企业中单位所属的股权</w:t>
      </w:r>
      <w:r>
        <w:rPr>
          <w:rFonts w:hint="eastAsia" w:ascii="仿宋_GB2312" w:eastAsia="仿宋_GB2312" w:cs="Times New Roman"/>
          <w:snapToGrid/>
          <w:color w:val="auto"/>
          <w:kern w:val="0"/>
          <w:sz w:val="32"/>
          <w:szCs w:val="32"/>
          <w:u w:val="none" w:color="auto"/>
          <w:lang w:val="en-US" w:eastAsia="zh-CN" w:bidi="ar-SA"/>
        </w:rPr>
        <w:t>，行使股东权利，高校院所可享受收益权。高校院所可提取10%以上的成果转化净收益成立成果转化类基金。</w:t>
      </w:r>
    </w:p>
    <w:p w14:paraId="79D9D663">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bidi="ar-SA"/>
        </w:rPr>
      </w:pPr>
      <w:r>
        <w:rPr>
          <w:rFonts w:ascii="Times New Roman" w:hAnsi="Times New Roman" w:eastAsia="仿宋_GB2312" w:cs="Times New Roman"/>
          <w:b/>
          <w:bCs/>
          <w:color w:val="auto"/>
          <w:sz w:val="32"/>
          <w:szCs w:val="32"/>
          <w:u w:val="none" w:color="auto"/>
          <w:lang w:eastAsia="zh-CN" w:bidi="ar-SA"/>
        </w:rPr>
        <w:t>第</w:t>
      </w:r>
      <w:r>
        <w:rPr>
          <w:rFonts w:ascii="Times New Roman" w:hAnsi="Times New Roman" w:eastAsia="仿宋_GB2312" w:cs="Times New Roman"/>
          <w:b/>
          <w:bCs/>
          <w:color w:val="auto"/>
          <w:sz w:val="32"/>
          <w:szCs w:val="32"/>
          <w:u w:val="none" w:color="auto"/>
          <w:lang w:val="en-US" w:eastAsia="zh-CN" w:bidi="ar-SA"/>
        </w:rPr>
        <w:t>七</w:t>
      </w:r>
      <w:r>
        <w:rPr>
          <w:rFonts w:ascii="Times New Roman" w:hAnsi="Times New Roman" w:eastAsia="仿宋_GB2312" w:cs="Times New Roman"/>
          <w:b/>
          <w:bCs/>
          <w:color w:val="auto"/>
          <w:sz w:val="32"/>
          <w:szCs w:val="32"/>
          <w:u w:val="none" w:color="auto"/>
          <w:lang w:eastAsia="zh-CN" w:bidi="ar-SA"/>
        </w:rPr>
        <w:t>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监督部门</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eastAsia="zh-CN" w:bidi="ar-SA"/>
        </w:rPr>
        <w:t>高校院所</w:t>
      </w:r>
      <w:r>
        <w:rPr>
          <w:rFonts w:ascii="Times New Roman" w:hAnsi="Times New Roman" w:eastAsia="仿宋_GB2312" w:cs="Times New Roman"/>
          <w:color w:val="auto"/>
          <w:sz w:val="32"/>
          <w:szCs w:val="32"/>
          <w:u w:val="none" w:color="auto"/>
          <w:lang w:bidi="ar-SA"/>
        </w:rPr>
        <w:t>纪检监察、财务、审计等相关部门，依据职责和权限，负责单列管理决策流程、经费使用管理等方面监督工作，有效保障国有资产权益。</w:t>
      </w:r>
    </w:p>
    <w:p w14:paraId="2FF8B5A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ascii="Times New Roman" w:hAnsi="Times New Roman" w:eastAsia="黑体" w:cs="Times New Roman"/>
          <w:color w:val="auto"/>
          <w:sz w:val="32"/>
          <w:szCs w:val="32"/>
          <w:u w:val="none" w:color="auto"/>
          <w:lang w:bidi="ar-SA"/>
        </w:rPr>
      </w:pPr>
      <w:bookmarkStart w:id="12" w:name="_Toc15802"/>
      <w:r>
        <w:rPr>
          <w:rFonts w:ascii="Times New Roman" w:hAnsi="Times New Roman" w:eastAsia="黑体" w:cs="Times New Roman"/>
          <w:color w:val="auto"/>
          <w:sz w:val="32"/>
          <w:szCs w:val="32"/>
          <w:u w:val="none" w:color="auto"/>
          <w:lang w:bidi="ar-SA"/>
        </w:rPr>
        <w:t>第三章 登记管理</w:t>
      </w:r>
      <w:bookmarkEnd w:id="12"/>
    </w:p>
    <w:p w14:paraId="1E9BFC5B">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bidi="ar-SA"/>
        </w:rPr>
      </w:pPr>
      <w:r>
        <w:rPr>
          <w:rFonts w:ascii="Times New Roman" w:hAnsi="Times New Roman" w:eastAsia="仿宋_GB2312" w:cs="Times New Roman"/>
          <w:b/>
          <w:bCs/>
          <w:color w:val="auto"/>
          <w:sz w:val="32"/>
          <w:szCs w:val="32"/>
          <w:u w:val="none" w:color="auto"/>
          <w:lang w:eastAsia="zh-CN" w:bidi="ar-SA"/>
        </w:rPr>
        <w:t>第</w:t>
      </w:r>
      <w:r>
        <w:rPr>
          <w:rFonts w:ascii="Times New Roman" w:hAnsi="Times New Roman" w:eastAsia="仿宋_GB2312" w:cs="Times New Roman"/>
          <w:b/>
          <w:bCs/>
          <w:color w:val="auto"/>
          <w:sz w:val="32"/>
          <w:szCs w:val="32"/>
          <w:u w:val="none" w:color="auto"/>
          <w:lang w:val="en-US" w:eastAsia="zh-CN" w:bidi="ar-SA"/>
        </w:rPr>
        <w:t>八</w:t>
      </w:r>
      <w:r>
        <w:rPr>
          <w:rFonts w:ascii="Times New Roman" w:hAnsi="Times New Roman" w:eastAsia="仿宋_GB2312" w:cs="Times New Roman"/>
          <w:b/>
          <w:bCs/>
          <w:color w:val="auto"/>
          <w:sz w:val="32"/>
          <w:szCs w:val="32"/>
          <w:u w:val="none" w:color="auto"/>
          <w:lang w:eastAsia="zh-CN" w:bidi="ar-SA"/>
        </w:rPr>
        <w:t>条</w:t>
      </w:r>
      <w:r>
        <w:rPr>
          <w:rFonts w:ascii="Times New Roman" w:hAnsi="Times New Roman" w:eastAsia="楷体_GB2312" w:cs="Times New Roman"/>
          <w:color w:val="auto"/>
          <w:sz w:val="32"/>
          <w:szCs w:val="32"/>
          <w:u w:val="none" w:color="auto"/>
          <w:lang w:val="en-US" w:bidi="ar-SA"/>
        </w:rPr>
        <w:t>〔成果披露〕</w:t>
      </w:r>
      <w:r>
        <w:rPr>
          <w:rFonts w:ascii="Times New Roman" w:hAnsi="Times New Roman" w:eastAsia="仿宋_GB2312" w:cs="Times New Roman"/>
          <w:color w:val="auto"/>
          <w:sz w:val="32"/>
          <w:szCs w:val="32"/>
          <w:u w:val="none" w:color="auto"/>
          <w:lang w:bidi="ar-SA"/>
        </w:rPr>
        <w:t>科技成果完成人应及时向</w:t>
      </w:r>
      <w:r>
        <w:rPr>
          <w:rFonts w:ascii="Times New Roman" w:hAnsi="Times New Roman" w:eastAsia="仿宋_GB2312" w:cs="Times New Roman"/>
          <w:color w:val="auto"/>
          <w:sz w:val="32"/>
          <w:szCs w:val="32"/>
          <w:u w:val="none" w:color="auto"/>
          <w:lang w:eastAsia="zh-CN" w:bidi="ar-SA"/>
        </w:rPr>
        <w:t>高校院所</w:t>
      </w:r>
      <w:r>
        <w:rPr>
          <w:rFonts w:ascii="Times New Roman" w:hAnsi="Times New Roman" w:eastAsia="仿宋_GB2312" w:cs="Times New Roman"/>
          <w:color w:val="auto"/>
          <w:sz w:val="32"/>
          <w:szCs w:val="32"/>
          <w:u w:val="none" w:color="auto"/>
          <w:lang w:val="en-US" w:eastAsia="zh-CN" w:bidi="ar-SA"/>
        </w:rPr>
        <w:t>成果转化相关部门</w:t>
      </w:r>
      <w:r>
        <w:rPr>
          <w:rFonts w:ascii="Times New Roman" w:hAnsi="Times New Roman" w:eastAsia="仿宋_GB2312" w:cs="Times New Roman"/>
          <w:color w:val="auto"/>
          <w:sz w:val="32"/>
          <w:szCs w:val="32"/>
          <w:u w:val="none" w:color="auto"/>
          <w:lang w:bidi="ar-SA"/>
        </w:rPr>
        <w:t>披露科技成果，披露的信息包括科技成果基本信息、研究开发情况、市场应用前景等。其中，已按法律程序授权的成果应及时提供相应授权证明。</w:t>
      </w:r>
    </w:p>
    <w:p w14:paraId="04EB064F">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bidi="ar-SA"/>
        </w:rPr>
      </w:pPr>
      <w:r>
        <w:rPr>
          <w:rFonts w:ascii="Times New Roman" w:hAnsi="Times New Roman" w:eastAsia="仿宋_GB2312" w:cs="Times New Roman"/>
          <w:b/>
          <w:bCs/>
          <w:color w:val="auto"/>
          <w:sz w:val="32"/>
          <w:szCs w:val="32"/>
          <w:u w:val="none" w:color="auto"/>
          <w:lang w:eastAsia="zh-CN" w:bidi="ar-SA"/>
        </w:rPr>
        <w:t>第</w:t>
      </w:r>
      <w:r>
        <w:rPr>
          <w:rFonts w:ascii="Times New Roman" w:hAnsi="Times New Roman" w:eastAsia="仿宋_GB2312" w:cs="Times New Roman"/>
          <w:b/>
          <w:bCs/>
          <w:color w:val="auto"/>
          <w:sz w:val="32"/>
          <w:szCs w:val="32"/>
          <w:u w:val="none" w:color="auto"/>
          <w:lang w:val="en-US" w:eastAsia="zh-CN" w:bidi="ar-SA"/>
        </w:rPr>
        <w:t>九</w:t>
      </w:r>
      <w:r>
        <w:rPr>
          <w:rFonts w:ascii="Times New Roman" w:hAnsi="Times New Roman" w:eastAsia="仿宋_GB2312" w:cs="Times New Roman"/>
          <w:b/>
          <w:bCs/>
          <w:color w:val="auto"/>
          <w:sz w:val="32"/>
          <w:szCs w:val="32"/>
          <w:u w:val="none" w:color="auto"/>
          <w:lang w:eastAsia="zh-CN" w:bidi="ar-SA"/>
        </w:rPr>
        <w:t>条</w:t>
      </w:r>
      <w:r>
        <w:rPr>
          <w:rFonts w:ascii="Times New Roman" w:hAnsi="Times New Roman" w:eastAsia="楷体_GB2312" w:cs="Times New Roman"/>
          <w:color w:val="auto"/>
          <w:sz w:val="32"/>
          <w:szCs w:val="32"/>
          <w:u w:val="none" w:color="auto"/>
          <w:lang w:val="en-US" w:bidi="ar-SA"/>
        </w:rPr>
        <w:t>〔审核登记〕</w:t>
      </w:r>
      <w:r>
        <w:rPr>
          <w:rFonts w:ascii="Times New Roman" w:hAnsi="Times New Roman" w:eastAsia="仿宋_GB2312" w:cs="Times New Roman"/>
          <w:color w:val="auto"/>
          <w:sz w:val="32"/>
          <w:szCs w:val="32"/>
          <w:u w:val="none" w:color="auto"/>
          <w:lang w:val="en-US" w:eastAsia="zh-CN" w:bidi="ar-SA"/>
        </w:rPr>
        <w:t>高校院所成果转化相关部门</w:t>
      </w:r>
      <w:r>
        <w:rPr>
          <w:rFonts w:ascii="Times New Roman" w:hAnsi="Times New Roman" w:eastAsia="仿宋_GB2312" w:cs="Times New Roman"/>
          <w:color w:val="auto"/>
          <w:sz w:val="32"/>
          <w:szCs w:val="32"/>
          <w:u w:val="none" w:color="auto"/>
          <w:lang w:bidi="ar-SA"/>
        </w:rPr>
        <w:t>对该科技成果进行审核，审核通过的予以登记，并对成果属性、成果阶段、转化状态等信息进行台账标记。科技成果台账标记可包括以下内容：属性标记包括授权成果、未授权成果；阶段标记分为研究阶段、开发阶段、无法区分研究或开发阶段；转化状态标记分为未转化、意向转化、已转化，其中已转化还可以根据技术迭代、多次许可等特点标记转化频次。</w:t>
      </w:r>
    </w:p>
    <w:p w14:paraId="2521F0E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ascii="Times New Roman" w:hAnsi="Times New Roman" w:eastAsia="黑体" w:cs="Times New Roman"/>
          <w:color w:val="auto"/>
          <w:sz w:val="32"/>
          <w:szCs w:val="32"/>
          <w:u w:val="none" w:color="auto"/>
          <w:lang w:bidi="ar-SA"/>
        </w:rPr>
      </w:pPr>
      <w:bookmarkStart w:id="13" w:name="_Toc27608"/>
    </w:p>
    <w:p w14:paraId="5854A6A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ascii="Times New Roman" w:hAnsi="Times New Roman" w:eastAsia="黑体" w:cs="Times New Roman"/>
          <w:color w:val="auto"/>
          <w:sz w:val="32"/>
          <w:szCs w:val="32"/>
          <w:u w:val="none" w:color="auto"/>
          <w:lang w:bidi="ar-SA"/>
        </w:rPr>
      </w:pPr>
      <w:r>
        <w:rPr>
          <w:rFonts w:ascii="Times New Roman" w:hAnsi="Times New Roman" w:eastAsia="黑体" w:cs="Times New Roman"/>
          <w:color w:val="auto"/>
          <w:sz w:val="32"/>
          <w:szCs w:val="32"/>
          <w:u w:val="none" w:color="auto"/>
          <w:lang w:bidi="ar-SA"/>
        </w:rPr>
        <w:t>第四章 转化管理</w:t>
      </w:r>
      <w:bookmarkEnd w:id="13"/>
    </w:p>
    <w:p w14:paraId="074F51B8">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bidi="ar-SA"/>
        </w:rPr>
      </w:pPr>
      <w:r>
        <w:rPr>
          <w:rFonts w:ascii="Times New Roman" w:hAnsi="Times New Roman" w:eastAsia="仿宋_GB2312" w:cs="Times New Roman"/>
          <w:b/>
          <w:bCs/>
          <w:color w:val="auto"/>
          <w:sz w:val="32"/>
          <w:szCs w:val="32"/>
          <w:u w:val="none" w:color="auto"/>
          <w:lang w:eastAsia="zh-CN" w:bidi="ar-SA"/>
        </w:rPr>
        <w:t>第十条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转化方式</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eastAsia="zh-CN" w:bidi="ar-SA"/>
        </w:rPr>
        <w:t>高校院所</w:t>
      </w:r>
      <w:r>
        <w:rPr>
          <w:rFonts w:ascii="Times New Roman" w:hAnsi="Times New Roman" w:eastAsia="仿宋_GB2312" w:cs="Times New Roman"/>
          <w:color w:val="auto"/>
          <w:sz w:val="32"/>
          <w:szCs w:val="32"/>
          <w:u w:val="none" w:color="auto"/>
          <w:lang w:bidi="ar-SA"/>
        </w:rPr>
        <w:t>对持有的科技成果，可自主决定采取转让、许可、作价投资等方式转化，除涉及国家秘密、国家安全及关键核心技术外，不需报主管部门和省财政厅审批或者备案。涉及国家秘密、国家安全及关键核心技术的科技成果转让、许可、作价投资，</w:t>
      </w:r>
      <w:r>
        <w:rPr>
          <w:rFonts w:ascii="Times New Roman" w:hAnsi="Times New Roman" w:eastAsia="仿宋_GB2312" w:cs="Times New Roman"/>
          <w:color w:val="auto"/>
          <w:sz w:val="32"/>
          <w:szCs w:val="32"/>
          <w:u w:val="none" w:color="auto"/>
          <w:lang w:eastAsia="zh-CN" w:bidi="ar-SA"/>
        </w:rPr>
        <w:t>高校院所</w:t>
      </w:r>
      <w:r>
        <w:rPr>
          <w:rFonts w:ascii="Times New Roman" w:hAnsi="Times New Roman" w:eastAsia="仿宋_GB2312" w:cs="Times New Roman"/>
          <w:color w:val="auto"/>
          <w:sz w:val="32"/>
          <w:szCs w:val="32"/>
          <w:u w:val="none" w:color="auto"/>
          <w:lang w:bidi="ar-SA"/>
        </w:rPr>
        <w:t>的主管部门要按照国家有关保密制度</w:t>
      </w:r>
      <w:r>
        <w:rPr>
          <w:rFonts w:hint="eastAsia" w:ascii="仿宋_GB2312" w:eastAsia="仿宋_GB2312" w:cs="Times New Roman"/>
          <w:color w:val="auto"/>
          <w:sz w:val="32"/>
          <w:szCs w:val="32"/>
          <w:u w:val="none" w:color="auto"/>
          <w:lang w:bidi="ar-SA"/>
        </w:rPr>
        <w:t>的规定进行审批，并于批复之日起15个工作日内将批复文件报省财政厅备案。</w:t>
      </w:r>
    </w:p>
    <w:p w14:paraId="155EC59D">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bidi="ar-SA"/>
        </w:rPr>
      </w:pPr>
      <w:r>
        <w:rPr>
          <w:rFonts w:ascii="Times New Roman" w:hAnsi="Times New Roman" w:eastAsia="仿宋_GB2312" w:cs="Times New Roman"/>
          <w:b/>
          <w:bCs/>
          <w:color w:val="auto"/>
          <w:sz w:val="32"/>
          <w:szCs w:val="32"/>
          <w:u w:val="none" w:color="auto"/>
          <w:lang w:eastAsia="zh-CN" w:bidi="ar-SA"/>
        </w:rPr>
        <w:t>第十</w:t>
      </w:r>
      <w:r>
        <w:rPr>
          <w:rFonts w:ascii="Times New Roman" w:hAnsi="Times New Roman" w:eastAsia="仿宋_GB2312" w:cs="Times New Roman"/>
          <w:b/>
          <w:bCs/>
          <w:color w:val="auto"/>
          <w:sz w:val="32"/>
          <w:szCs w:val="32"/>
          <w:u w:val="none" w:color="auto"/>
          <w:lang w:val="en-US" w:eastAsia="zh-CN" w:bidi="ar-SA"/>
        </w:rPr>
        <w:t>一</w:t>
      </w:r>
      <w:r>
        <w:rPr>
          <w:rFonts w:ascii="Times New Roman" w:hAnsi="Times New Roman" w:eastAsia="仿宋_GB2312" w:cs="Times New Roman"/>
          <w:b/>
          <w:bCs/>
          <w:color w:val="auto"/>
          <w:sz w:val="32"/>
          <w:szCs w:val="32"/>
          <w:u w:val="none" w:color="auto"/>
          <w:lang w:eastAsia="zh-CN" w:bidi="ar-SA"/>
        </w:rPr>
        <w:t>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决策程序</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bidi="ar-SA"/>
        </w:rPr>
        <w:t>单列职务科技成果作价投资形成的国有股权的减持、划转、转让、退出、减值及破产清算等处置，区别于现行的国有资产管理，由</w:t>
      </w:r>
      <w:r>
        <w:rPr>
          <w:rFonts w:ascii="Times New Roman" w:hAnsi="Times New Roman" w:eastAsia="仿宋_GB2312" w:cs="Times New Roman"/>
          <w:color w:val="auto"/>
          <w:sz w:val="32"/>
          <w:szCs w:val="32"/>
          <w:u w:val="none" w:color="auto"/>
          <w:lang w:eastAsia="zh-CN" w:bidi="ar-SA"/>
        </w:rPr>
        <w:t>高校院所</w:t>
      </w:r>
      <w:r>
        <w:rPr>
          <w:rFonts w:ascii="Times New Roman" w:hAnsi="Times New Roman" w:eastAsia="仿宋_GB2312" w:cs="Times New Roman"/>
          <w:color w:val="auto"/>
          <w:sz w:val="32"/>
          <w:szCs w:val="32"/>
          <w:u w:val="none" w:color="auto"/>
          <w:lang w:bidi="ar-SA"/>
        </w:rPr>
        <w:t>自主决定，不审批、不备案，不纳入国有资产保值增值管理考核范围。纳入国有资本投资运营公司集中统一监管的，公司要按照科技成果转化授权要求，简化科技成果作价投资形成的国有股权管理决策程序，积极支持科技成果转化和科技创新。</w:t>
      </w:r>
    </w:p>
    <w:p w14:paraId="3AE29EDE">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eastAsia="zh-CN" w:bidi="ar-SA"/>
        </w:rPr>
      </w:pPr>
      <w:r>
        <w:rPr>
          <w:rFonts w:ascii="Times New Roman" w:hAnsi="Times New Roman" w:eastAsia="仿宋_GB2312" w:cs="Times New Roman"/>
          <w:b/>
          <w:bCs/>
          <w:color w:val="auto"/>
          <w:sz w:val="32"/>
          <w:szCs w:val="32"/>
          <w:u w:val="none" w:color="auto"/>
          <w:lang w:eastAsia="zh-CN" w:bidi="ar-SA"/>
        </w:rPr>
        <w:t>第十</w:t>
      </w:r>
      <w:r>
        <w:rPr>
          <w:rFonts w:ascii="Times New Roman" w:hAnsi="Times New Roman" w:eastAsia="仿宋_GB2312" w:cs="Times New Roman"/>
          <w:b/>
          <w:bCs/>
          <w:color w:val="auto"/>
          <w:sz w:val="32"/>
          <w:szCs w:val="32"/>
          <w:u w:val="none" w:color="auto"/>
          <w:lang w:val="en-US" w:eastAsia="zh-CN" w:bidi="ar-SA"/>
        </w:rPr>
        <w:t>二</w:t>
      </w:r>
      <w:r>
        <w:rPr>
          <w:rFonts w:ascii="Times New Roman" w:hAnsi="Times New Roman" w:eastAsia="仿宋_GB2312" w:cs="Times New Roman"/>
          <w:b/>
          <w:bCs/>
          <w:color w:val="auto"/>
          <w:sz w:val="32"/>
          <w:szCs w:val="32"/>
          <w:u w:val="none" w:color="auto"/>
          <w:lang w:eastAsia="zh-CN" w:bidi="ar-SA"/>
        </w:rPr>
        <w:t>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资产评估</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eastAsia="zh-CN" w:bidi="ar-SA"/>
        </w:rPr>
        <w:t>高校院所</w:t>
      </w:r>
      <w:r>
        <w:rPr>
          <w:rFonts w:ascii="Times New Roman" w:hAnsi="Times New Roman" w:eastAsia="仿宋_GB2312" w:cs="Times New Roman"/>
          <w:color w:val="auto"/>
          <w:sz w:val="32"/>
          <w:szCs w:val="32"/>
          <w:u w:val="none" w:color="auto"/>
          <w:lang w:bidi="ar-SA"/>
        </w:rPr>
        <w:t>将科技成果转让、许可或者作价投资的，自</w:t>
      </w:r>
      <w:r>
        <w:rPr>
          <w:rFonts w:hint="eastAsia" w:ascii="仿宋_GB2312" w:eastAsia="仿宋_GB2312" w:cs="Times New Roman"/>
          <w:color w:val="auto"/>
          <w:sz w:val="32"/>
          <w:szCs w:val="32"/>
          <w:u w:val="none" w:color="auto"/>
          <w:lang w:bidi="ar-SA"/>
        </w:rPr>
        <w:t>行决定是否进行资产评估。职务科技成果通过协议定价的，应在本单位公示科技成果名称和拟交易价格等信息，公示期不少于15日</w:t>
      </w:r>
      <w:r>
        <w:rPr>
          <w:rFonts w:hint="eastAsia" w:ascii="仿宋_GB2312" w:eastAsia="仿宋_GB2312" w:cs="Times New Roman"/>
          <w:color w:val="auto"/>
          <w:sz w:val="32"/>
          <w:szCs w:val="32"/>
          <w:u w:val="none" w:color="auto"/>
          <w:lang w:eastAsia="zh-CN" w:bidi="ar-SA"/>
        </w:rPr>
        <w:t>。</w:t>
      </w:r>
    </w:p>
    <w:p w14:paraId="7EBB9B3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ascii="Times New Roman" w:hAnsi="Times New Roman" w:eastAsia="黑体" w:cs="Times New Roman"/>
          <w:color w:val="auto"/>
          <w:sz w:val="32"/>
          <w:szCs w:val="32"/>
          <w:u w:val="none" w:color="auto"/>
          <w:lang w:eastAsia="zh-CN" w:bidi="ar-SA"/>
        </w:rPr>
      </w:pPr>
      <w:bookmarkStart w:id="14" w:name="_Toc30460"/>
    </w:p>
    <w:p w14:paraId="141D9B3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ascii="Times New Roman" w:hAnsi="Times New Roman" w:eastAsia="黑体" w:cs="Times New Roman"/>
          <w:color w:val="auto"/>
          <w:sz w:val="32"/>
          <w:szCs w:val="32"/>
          <w:u w:val="none" w:color="auto"/>
          <w:lang w:eastAsia="zh-CN" w:bidi="ar-SA"/>
        </w:rPr>
      </w:pPr>
      <w:r>
        <w:rPr>
          <w:rFonts w:ascii="Times New Roman" w:hAnsi="Times New Roman" w:eastAsia="黑体" w:cs="Times New Roman"/>
          <w:color w:val="auto"/>
          <w:sz w:val="32"/>
          <w:szCs w:val="32"/>
          <w:u w:val="none" w:color="auto"/>
          <w:lang w:eastAsia="zh-CN" w:bidi="ar-SA"/>
        </w:rPr>
        <w:t>第五章 监督管理</w:t>
      </w:r>
      <w:bookmarkEnd w:id="14"/>
    </w:p>
    <w:p w14:paraId="2D0972B5">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eastAsia="zh-CN" w:bidi="ar-SA"/>
        </w:rPr>
      </w:pPr>
      <w:r>
        <w:rPr>
          <w:rFonts w:ascii="Times New Roman" w:hAnsi="Times New Roman" w:eastAsia="仿宋_GB2312" w:cs="Times New Roman"/>
          <w:b/>
          <w:bCs/>
          <w:color w:val="auto"/>
          <w:sz w:val="32"/>
          <w:szCs w:val="32"/>
          <w:u w:val="none" w:color="auto"/>
          <w:lang w:eastAsia="zh-CN" w:bidi="ar-SA"/>
        </w:rPr>
        <w:t>第十</w:t>
      </w:r>
      <w:r>
        <w:rPr>
          <w:rFonts w:ascii="Times New Roman" w:hAnsi="Times New Roman" w:eastAsia="仿宋_GB2312" w:cs="Times New Roman"/>
          <w:b/>
          <w:bCs/>
          <w:color w:val="auto"/>
          <w:sz w:val="32"/>
          <w:szCs w:val="32"/>
          <w:u w:val="none" w:color="auto"/>
          <w:lang w:val="en-US" w:eastAsia="zh-CN" w:bidi="ar-SA"/>
        </w:rPr>
        <w:t>三</w:t>
      </w:r>
      <w:r>
        <w:rPr>
          <w:rFonts w:ascii="Times New Roman" w:hAnsi="Times New Roman" w:eastAsia="仿宋_GB2312" w:cs="Times New Roman"/>
          <w:b/>
          <w:bCs/>
          <w:color w:val="auto"/>
          <w:sz w:val="32"/>
          <w:szCs w:val="32"/>
          <w:u w:val="none" w:color="auto"/>
          <w:lang w:eastAsia="zh-CN" w:bidi="ar-SA"/>
        </w:rPr>
        <w:t>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负面清单</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eastAsia="zh-CN" w:bidi="ar-SA"/>
        </w:rPr>
        <w:t>高校院所要加强对职务科技成果单列管理的监管，按照本指引的要求，及时制定完善单列管理制度办法，简化政策落地流程，完善科技成果转化、清产核资及退出的决策程序，及时更新科技成果台账。鼓励高校院所推行负面清单管理，明确风险边界和禁止性条款，确保单列管理后，不会造成重大违法违纪违规风险以及资产损失风险。强化主管部门、财政部门、审计部门的沟通协调，及时解决遇到的新情况新问题。</w:t>
      </w:r>
    </w:p>
    <w:p w14:paraId="02F8305A">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eastAsia="zh-CN" w:bidi="ar-SA"/>
        </w:rPr>
      </w:pPr>
      <w:r>
        <w:rPr>
          <w:rFonts w:ascii="Times New Roman" w:hAnsi="Times New Roman" w:eastAsia="仿宋_GB2312" w:cs="Times New Roman"/>
          <w:b/>
          <w:bCs/>
          <w:color w:val="auto"/>
          <w:sz w:val="32"/>
          <w:szCs w:val="32"/>
          <w:u w:val="none" w:color="auto"/>
          <w:lang w:eastAsia="zh-CN" w:bidi="ar-SA"/>
        </w:rPr>
        <w:t>第十</w:t>
      </w:r>
      <w:r>
        <w:rPr>
          <w:rFonts w:ascii="Times New Roman" w:hAnsi="Times New Roman" w:eastAsia="仿宋_GB2312" w:cs="Times New Roman"/>
          <w:b/>
          <w:bCs/>
          <w:color w:val="auto"/>
          <w:sz w:val="32"/>
          <w:szCs w:val="32"/>
          <w:u w:val="none" w:color="auto"/>
          <w:lang w:val="en-US" w:eastAsia="zh-CN" w:bidi="ar-SA"/>
        </w:rPr>
        <w:t>四</w:t>
      </w:r>
      <w:r>
        <w:rPr>
          <w:rFonts w:ascii="Times New Roman" w:hAnsi="Times New Roman" w:eastAsia="仿宋_GB2312" w:cs="Times New Roman"/>
          <w:b/>
          <w:bCs/>
          <w:color w:val="auto"/>
          <w:sz w:val="32"/>
          <w:szCs w:val="32"/>
          <w:u w:val="none" w:color="auto"/>
          <w:lang w:eastAsia="zh-CN" w:bidi="ar-SA"/>
        </w:rPr>
        <w:t>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年度报告</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eastAsia="zh-CN" w:bidi="ar-SA"/>
        </w:rPr>
        <w:t>高校院所要依托现行科技成果转化年度报告制度，及时向主管部门提交年度职务科技成果转化情况报告，报告内容包括职务科技成果基本情况（成果数量、类型、增减变化情况），反映职务科技成果单列管理情况，年度许可、转让、作价投资、产学研合作以及国有资产管理情况，存在突出问题和有关建议。主管部门应当按照规定将年度职务科技成果转化情况报告报送财政、科技等相关行政部门。</w:t>
      </w:r>
    </w:p>
    <w:p w14:paraId="0F8970C2">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eastAsia="zh-CN" w:bidi="ar-SA"/>
        </w:rPr>
      </w:pPr>
      <w:r>
        <w:rPr>
          <w:rFonts w:ascii="Times New Roman" w:hAnsi="Times New Roman" w:eastAsia="仿宋_GB2312" w:cs="Times New Roman"/>
          <w:b/>
          <w:bCs/>
          <w:color w:val="auto"/>
          <w:sz w:val="32"/>
          <w:szCs w:val="32"/>
          <w:u w:val="none" w:color="auto"/>
          <w:lang w:eastAsia="zh-CN" w:bidi="ar-SA"/>
        </w:rPr>
        <w:t>第十</w:t>
      </w:r>
      <w:r>
        <w:rPr>
          <w:rFonts w:ascii="Times New Roman" w:hAnsi="Times New Roman" w:eastAsia="仿宋_GB2312" w:cs="Times New Roman"/>
          <w:b/>
          <w:bCs/>
          <w:color w:val="auto"/>
          <w:sz w:val="32"/>
          <w:szCs w:val="32"/>
          <w:u w:val="none" w:color="auto"/>
          <w:lang w:val="en-US" w:eastAsia="zh-CN" w:bidi="ar-SA"/>
        </w:rPr>
        <w:t>五</w:t>
      </w:r>
      <w:r>
        <w:rPr>
          <w:rFonts w:ascii="Times New Roman" w:hAnsi="Times New Roman" w:eastAsia="仿宋_GB2312" w:cs="Times New Roman"/>
          <w:b/>
          <w:bCs/>
          <w:color w:val="auto"/>
          <w:sz w:val="32"/>
          <w:szCs w:val="32"/>
          <w:u w:val="none" w:color="auto"/>
          <w:lang w:eastAsia="zh-CN" w:bidi="ar-SA"/>
        </w:rPr>
        <w:t>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容错免责</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eastAsia="zh-CN" w:bidi="ar-SA"/>
        </w:rPr>
        <w:t>高校院所相关领导和责任人员在履行勤勉尽职义务，严格执行决策程序和公示制度，没有牟取非法利益的，免除其在科技成果定价中因科技成果转化后续价值变化产生的决策责任。对在成果转化过程中，串通作弊、暗箱操作等低价处置国有资产的，依据国家有关规定进行处理。</w:t>
      </w:r>
    </w:p>
    <w:p w14:paraId="1E45663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ascii="Times New Roman" w:hAnsi="Times New Roman" w:eastAsia="黑体" w:cs="Times New Roman"/>
          <w:color w:val="auto"/>
          <w:sz w:val="32"/>
          <w:szCs w:val="32"/>
          <w:u w:val="none" w:color="auto"/>
          <w:lang w:eastAsia="zh-CN" w:bidi="ar-SA"/>
        </w:rPr>
      </w:pPr>
      <w:bookmarkStart w:id="15" w:name="_Toc5379"/>
    </w:p>
    <w:p w14:paraId="73E38BD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ascii="Times New Roman" w:hAnsi="Times New Roman" w:eastAsia="黑体" w:cs="Times New Roman"/>
          <w:color w:val="auto"/>
          <w:sz w:val="32"/>
          <w:szCs w:val="32"/>
          <w:u w:val="none" w:color="auto"/>
          <w:lang w:eastAsia="zh-CN" w:bidi="ar-SA"/>
        </w:rPr>
      </w:pPr>
      <w:r>
        <w:rPr>
          <w:rFonts w:ascii="Times New Roman" w:hAnsi="Times New Roman" w:eastAsia="黑体" w:cs="Times New Roman"/>
          <w:color w:val="auto"/>
          <w:sz w:val="32"/>
          <w:szCs w:val="32"/>
          <w:u w:val="none" w:color="auto"/>
          <w:lang w:eastAsia="zh-CN" w:bidi="ar-SA"/>
        </w:rPr>
        <w:t>第六章</w:t>
      </w:r>
      <w:r>
        <w:rPr>
          <w:rFonts w:hint="eastAsia" w:ascii="Times New Roman" w:hAnsi="Times New Roman" w:eastAsia="黑体" w:cs="Times New Roman"/>
          <w:color w:val="auto"/>
          <w:sz w:val="32"/>
          <w:szCs w:val="32"/>
          <w:u w:val="none" w:color="auto"/>
          <w:lang w:val="en-US" w:eastAsia="zh-CN" w:bidi="ar-SA"/>
        </w:rPr>
        <w:t xml:space="preserve"> </w:t>
      </w:r>
      <w:r>
        <w:rPr>
          <w:rFonts w:ascii="Times New Roman" w:hAnsi="Times New Roman" w:eastAsia="黑体" w:cs="Times New Roman"/>
          <w:color w:val="auto"/>
          <w:sz w:val="32"/>
          <w:szCs w:val="32"/>
          <w:u w:val="none" w:color="auto"/>
          <w:lang w:eastAsia="zh-CN" w:bidi="ar-SA"/>
        </w:rPr>
        <w:t>附</w:t>
      </w:r>
      <w:r>
        <w:rPr>
          <w:rFonts w:hint="eastAsia" w:ascii="Times New Roman" w:hAnsi="Times New Roman" w:eastAsia="黑体" w:cs="Times New Roman"/>
          <w:color w:val="auto"/>
          <w:sz w:val="32"/>
          <w:szCs w:val="32"/>
          <w:u w:val="none" w:color="auto"/>
          <w:lang w:val="en-US" w:eastAsia="zh-CN" w:bidi="ar-SA"/>
        </w:rPr>
        <w:t xml:space="preserve">  </w:t>
      </w:r>
      <w:r>
        <w:rPr>
          <w:rFonts w:ascii="Times New Roman" w:hAnsi="Times New Roman" w:eastAsia="黑体" w:cs="Times New Roman"/>
          <w:color w:val="auto"/>
          <w:sz w:val="32"/>
          <w:szCs w:val="32"/>
          <w:u w:val="none" w:color="auto"/>
          <w:lang w:eastAsia="zh-CN" w:bidi="ar-SA"/>
        </w:rPr>
        <w:t>则</w:t>
      </w:r>
      <w:bookmarkEnd w:id="15"/>
    </w:p>
    <w:p w14:paraId="4020FAAD">
      <w:pPr>
        <w:pStyle w:val="6"/>
        <w:keepNext w:val="0"/>
        <w:keepLines w:val="0"/>
        <w:pageBreakBefore w:val="0"/>
        <w:widowControl/>
        <w:kinsoku/>
        <w:wordWrap/>
        <w:overflowPunct/>
        <w:topLinePunct w:val="0"/>
        <w:autoSpaceDE w:val="0"/>
        <w:autoSpaceDN w:val="0"/>
        <w:bidi w:val="0"/>
        <w:adjustRightInd w:val="0"/>
        <w:snapToGrid w:val="0"/>
        <w:spacing w:after="0" w:afterAutospacing="0" w:line="560" w:lineRule="exact"/>
        <w:ind w:left="0" w:right="0" w:firstLine="643"/>
        <w:jc w:val="both"/>
        <w:textAlignment w:val="baseline"/>
        <w:rPr>
          <w:rFonts w:ascii="Times New Roman" w:hAnsi="Times New Roman" w:eastAsia="仿宋_GB2312" w:cs="Times New Roman"/>
          <w:color w:val="auto"/>
          <w:sz w:val="32"/>
          <w:szCs w:val="32"/>
          <w:u w:val="none" w:color="auto"/>
          <w:lang w:eastAsia="zh-CN" w:bidi="ar-SA"/>
        </w:rPr>
      </w:pPr>
      <w:r>
        <w:rPr>
          <w:rFonts w:ascii="Times New Roman" w:hAnsi="Times New Roman" w:eastAsia="仿宋_GB2312" w:cs="Times New Roman"/>
          <w:b/>
          <w:bCs/>
          <w:color w:val="auto"/>
          <w:sz w:val="32"/>
          <w:szCs w:val="32"/>
          <w:u w:val="none" w:color="auto"/>
          <w:lang w:eastAsia="zh-CN" w:bidi="ar-SA"/>
        </w:rPr>
        <w:t>第十</w:t>
      </w:r>
      <w:r>
        <w:rPr>
          <w:rFonts w:ascii="Times New Roman" w:hAnsi="Times New Roman" w:eastAsia="仿宋_GB2312" w:cs="Times New Roman"/>
          <w:b/>
          <w:bCs/>
          <w:color w:val="auto"/>
          <w:sz w:val="32"/>
          <w:szCs w:val="32"/>
          <w:u w:val="none" w:color="auto"/>
          <w:lang w:val="en-US" w:eastAsia="zh-CN" w:bidi="ar-SA"/>
        </w:rPr>
        <w:t>六</w:t>
      </w:r>
      <w:r>
        <w:rPr>
          <w:rFonts w:ascii="Times New Roman" w:hAnsi="Times New Roman" w:eastAsia="仿宋_GB2312" w:cs="Times New Roman"/>
          <w:b/>
          <w:bCs/>
          <w:color w:val="auto"/>
          <w:sz w:val="32"/>
          <w:szCs w:val="32"/>
          <w:u w:val="none" w:color="auto"/>
          <w:lang w:eastAsia="zh-CN" w:bidi="ar-SA"/>
        </w:rPr>
        <w:t>条</w:t>
      </w:r>
      <w:r>
        <w:rPr>
          <w:rFonts w:ascii="Times New Roman" w:hAnsi="Times New Roman" w:eastAsia="楷体_GB2312" w:cs="Times New Roman"/>
          <w:color w:val="auto"/>
          <w:sz w:val="32"/>
          <w:szCs w:val="32"/>
          <w:u w:val="none" w:color="auto"/>
          <w:lang w:val="en-US" w:bidi="ar-SA"/>
        </w:rPr>
        <w:t>〔</w:t>
      </w:r>
      <w:r>
        <w:rPr>
          <w:rFonts w:ascii="Times New Roman" w:hAnsi="Times New Roman" w:eastAsia="楷体_GB2312" w:cs="Times New Roman"/>
          <w:color w:val="auto"/>
          <w:sz w:val="32"/>
          <w:szCs w:val="32"/>
          <w:u w:val="none" w:color="auto"/>
          <w:lang w:val="en-US" w:eastAsia="zh-CN" w:bidi="ar-SA"/>
        </w:rPr>
        <w:t>执行</w:t>
      </w:r>
      <w:r>
        <w:rPr>
          <w:rFonts w:ascii="Times New Roman" w:hAnsi="Times New Roman" w:eastAsia="楷体_GB2312" w:cs="Times New Roman"/>
          <w:color w:val="auto"/>
          <w:sz w:val="32"/>
          <w:szCs w:val="32"/>
          <w:u w:val="none" w:color="auto"/>
          <w:lang w:val="en-US" w:bidi="ar-SA"/>
        </w:rPr>
        <w:t>〕</w:t>
      </w:r>
      <w:r>
        <w:rPr>
          <w:rFonts w:ascii="Times New Roman" w:hAnsi="Times New Roman" w:eastAsia="仿宋_GB2312" w:cs="Times New Roman"/>
          <w:color w:val="auto"/>
          <w:sz w:val="32"/>
          <w:szCs w:val="32"/>
          <w:u w:val="none" w:color="auto"/>
          <w:lang w:eastAsia="zh-CN" w:bidi="ar-SA"/>
        </w:rPr>
        <w:t>本指引自发布之日起施行，此前各单位管理制度办法与本指引不一致的，应依照本指引执行。本指引相关规定，如遇国家和省级职务科技成果转化政策调整的，依最新政策执行。</w:t>
      </w:r>
    </w:p>
    <w:p w14:paraId="3D637667">
      <w:pPr>
        <w:keepNext w:val="0"/>
        <w:keepLines w:val="0"/>
        <w:pageBreakBefore w:val="0"/>
        <w:widowControl w:val="0"/>
        <w:kinsoku/>
        <w:wordWrap/>
        <w:overflowPunct/>
        <w:topLinePunct w:val="0"/>
        <w:bidi w:val="0"/>
        <w:rPr>
          <w:rFonts w:ascii="Times New Roman" w:hAnsi="Times New Roman" w:cs="Times New Roman"/>
          <w:u w:val="none" w:color="auto"/>
          <w:lang w:bidi="ar-SA"/>
        </w:rPr>
        <w:sectPr>
          <w:pgSz w:w="11906" w:h="16838"/>
          <w:pgMar w:top="2098" w:right="1474" w:bottom="1984" w:left="1587" w:header="851" w:footer="1417" w:gutter="0"/>
          <w:cols w:space="720" w:num="1"/>
          <w:docGrid w:type="lines" w:linePitch="312" w:charSpace="0"/>
        </w:sectPr>
      </w:pPr>
    </w:p>
    <w:p w14:paraId="26EC61AD">
      <w:pPr>
        <w:pStyle w:val="6"/>
        <w:keepNext w:val="0"/>
        <w:keepLines w:val="0"/>
        <w:pageBreakBefore w:val="0"/>
        <w:widowControl/>
        <w:kinsoku w:val="0"/>
        <w:wordWrap/>
        <w:overflowPunct/>
        <w:topLinePunct w:val="0"/>
        <w:autoSpaceDE w:val="0"/>
        <w:autoSpaceDN w:val="0"/>
        <w:bidi w:val="0"/>
        <w:adjustRightInd w:val="0"/>
        <w:snapToGrid w:val="0"/>
        <w:spacing w:after="0" w:afterAutospacing="0" w:line="560" w:lineRule="exact"/>
        <w:ind w:right="0"/>
        <w:jc w:val="both"/>
        <w:textAlignment w:val="baseline"/>
        <w:rPr>
          <w:rFonts w:ascii="Times New Roman" w:hAnsi="Times New Roman" w:eastAsia="黑体" w:cs="Times New Roman"/>
          <w:color w:val="auto"/>
          <w:sz w:val="32"/>
          <w:szCs w:val="32"/>
          <w:u w:val="none" w:color="auto"/>
          <w:lang w:val="en-US" w:eastAsia="zh-CN" w:bidi="ar-SA"/>
        </w:rPr>
      </w:pPr>
      <w:r>
        <w:rPr>
          <w:rFonts w:ascii="Times New Roman" w:hAnsi="Times New Roman" w:eastAsia="黑体" w:cs="Times New Roman"/>
          <w:color w:val="auto"/>
          <w:sz w:val="32"/>
          <w:szCs w:val="32"/>
          <w:u w:val="none" w:color="auto"/>
          <w:lang w:val="en-US" w:eastAsia="zh-CN" w:bidi="ar-SA"/>
        </w:rPr>
        <w:t>附件3</w:t>
      </w:r>
    </w:p>
    <w:p w14:paraId="7E291D1A">
      <w:pPr>
        <w:pStyle w:val="6"/>
        <w:keepNext w:val="0"/>
        <w:keepLines w:val="0"/>
        <w:pageBreakBefore w:val="0"/>
        <w:widowControl/>
        <w:kinsoku w:val="0"/>
        <w:wordWrap/>
        <w:overflowPunct/>
        <w:topLinePunct w:val="0"/>
        <w:autoSpaceDE w:val="0"/>
        <w:autoSpaceDN w:val="0"/>
        <w:bidi w:val="0"/>
        <w:adjustRightInd w:val="0"/>
        <w:snapToGrid w:val="0"/>
        <w:spacing w:after="0" w:afterAutospacing="0" w:line="560" w:lineRule="exact"/>
        <w:ind w:right="0"/>
        <w:jc w:val="center"/>
        <w:textAlignment w:val="baseline"/>
        <w:rPr>
          <w:rFonts w:ascii="Times New Roman" w:hAnsi="Times New Roman" w:eastAsia="微软雅黑" w:cs="Times New Roman"/>
          <w:color w:val="auto"/>
          <w:sz w:val="44"/>
          <w:szCs w:val="44"/>
          <w:u w:val="none" w:color="auto"/>
          <w:lang w:eastAsia="zh-CN" w:bidi="ar-SA"/>
        </w:rPr>
      </w:pPr>
    </w:p>
    <w:p w14:paraId="46D91B31">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0"/>
        <w:rPr>
          <w:rFonts w:ascii="Times New Roman" w:hAnsi="Times New Roman" w:eastAsia="方正小标宋简体" w:cs="Times New Roman"/>
          <w:color w:val="auto"/>
          <w:sz w:val="44"/>
          <w:szCs w:val="44"/>
          <w:highlight w:val="none"/>
          <w:u w:val="none" w:color="auto"/>
          <w:lang w:val="en-US" w:eastAsia="zh-CN" w:bidi="ar-SA"/>
        </w:rPr>
      </w:pPr>
      <w:r>
        <w:rPr>
          <w:rFonts w:ascii="Times New Roman" w:hAnsi="Times New Roman" w:eastAsia="方正小标宋简体" w:cs="Times New Roman"/>
          <w:color w:val="auto"/>
          <w:sz w:val="44"/>
          <w:szCs w:val="44"/>
          <w:highlight w:val="none"/>
          <w:u w:val="none" w:color="auto"/>
          <w:lang w:val="en-US" w:eastAsia="zh-CN" w:bidi="ar-SA"/>
        </w:rPr>
        <w:t>职务科技成果所有权全部赋权流程</w:t>
      </w:r>
    </w:p>
    <w:p w14:paraId="311DD1A0">
      <w:pPr>
        <w:pStyle w:val="6"/>
        <w:keepNext w:val="0"/>
        <w:keepLines w:val="0"/>
        <w:pageBreakBefore w:val="0"/>
        <w:widowControl/>
        <w:kinsoku w:val="0"/>
        <w:wordWrap/>
        <w:overflowPunct/>
        <w:topLinePunct w:val="0"/>
        <w:autoSpaceDE w:val="0"/>
        <w:autoSpaceDN w:val="0"/>
        <w:bidi w:val="0"/>
        <w:adjustRightInd w:val="0"/>
        <w:snapToGrid w:val="0"/>
        <w:spacing w:after="0" w:afterAutospacing="0" w:line="560" w:lineRule="exact"/>
        <w:ind w:right="0"/>
        <w:jc w:val="both"/>
        <w:textAlignment w:val="baseline"/>
        <w:rPr>
          <w:rFonts w:ascii="Times New Roman" w:hAnsi="Times New Roman" w:eastAsia="微软雅黑" w:cs="Times New Roman"/>
          <w:color w:val="auto"/>
          <w:spacing w:val="9"/>
          <w:sz w:val="44"/>
          <w:szCs w:val="44"/>
          <w:u w:val="none" w:color="auto"/>
          <w:lang w:val="en-US" w:eastAsia="zh-CN" w:bidi="ar-SA"/>
        </w:rPr>
      </w:pPr>
    </w:p>
    <w:p w14:paraId="001E6C88">
      <w:pPr>
        <w:pStyle w:val="6"/>
        <w:keepNext w:val="0"/>
        <w:keepLines w:val="0"/>
        <w:pageBreakBefore w:val="0"/>
        <w:widowControl/>
        <w:kinsoku w:val="0"/>
        <w:wordWrap/>
        <w:overflowPunct/>
        <w:topLinePunct w:val="0"/>
        <w:autoSpaceDE w:val="0"/>
        <w:autoSpaceDN w:val="0"/>
        <w:bidi w:val="0"/>
        <w:adjustRightInd w:val="0"/>
        <w:snapToGrid w:val="0"/>
        <w:spacing w:after="0" w:afterAutospacing="0" w:line="240" w:lineRule="auto"/>
        <w:ind w:right="0"/>
        <w:jc w:val="both"/>
        <w:textAlignment w:val="baseline"/>
        <w:rPr>
          <w:rFonts w:ascii="Times New Roman" w:hAnsi="Times New Roman" w:cs="Times New Roman"/>
          <w:u w:val="none" w:color="auto"/>
          <w:lang w:bidi="ar-SA"/>
        </w:rPr>
      </w:pPr>
      <w:r>
        <w:rPr>
          <w:rFonts w:ascii="Times New Roman" w:hAnsi="Times New Roman" w:eastAsia="微软雅黑" w:cs="Times New Roman"/>
          <w:color w:val="auto"/>
          <w:spacing w:val="9"/>
          <w:sz w:val="44"/>
          <w:szCs w:val="44"/>
          <w:u w:val="none" w:color="auto"/>
          <w:lang w:val="en-US" w:eastAsia="zh-CN" w:bidi="ar-SA"/>
        </w:rPr>
        <w:drawing>
          <wp:inline distT="0" distB="0" distL="114300" distR="114300">
            <wp:extent cx="5612130" cy="5678170"/>
            <wp:effectExtent l="0" t="0" r="10" b="23"/>
            <wp:docPr id="22"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2"/>
                    <pic:cNvPicPr>
                      <a:picLocks noChangeAspect="1"/>
                    </pic:cNvPicPr>
                  </pic:nvPicPr>
                  <pic:blipFill>
                    <a:blip r:embed="rId8"/>
                    <a:stretch>
                      <a:fillRect/>
                    </a:stretch>
                  </pic:blipFill>
                  <pic:spPr>
                    <a:xfrm>
                      <a:off x="0" y="0"/>
                      <a:ext cx="5612130" cy="5678170"/>
                    </a:xfrm>
                    <a:prstGeom prst="rect">
                      <a:avLst/>
                    </a:prstGeom>
                    <a:noFill/>
                    <a:ln w="9525" cap="flat" cmpd="sng">
                      <a:noFill/>
                      <a:prstDash val="solid"/>
                      <a:round/>
                    </a:ln>
                  </pic:spPr>
                </pic:pic>
              </a:graphicData>
            </a:graphic>
          </wp:inline>
        </w:drawing>
      </w:r>
    </w:p>
    <w:p w14:paraId="51BFEB40">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u w:val="none"/>
        </w:rPr>
      </w:pPr>
    </w:p>
    <w:sectPr>
      <w:footerReference r:id="rId5"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script"/>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FEB1E">
    <w:pPr>
      <w:pStyle w:val="10"/>
      <w:tabs>
        <w:tab w:val="right" w:pos="8307"/>
        <w:tab w:val="clear" w:pos="8306"/>
      </w:tabs>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7" name="文本框 3"/>
              <wp:cNvGraphicFramePr/>
              <a:graphic xmlns:a="http://schemas.openxmlformats.org/drawingml/2006/main">
                <a:graphicData uri="http://schemas.microsoft.com/office/word/2010/wordprocessingShape">
                  <wps:wsp>
                    <wps:cNvSpPr/>
                    <wps:spPr>
                      <a:xfrm>
                        <a:off x="0" y="0"/>
                        <a:ext cx="72694" cy="133159"/>
                      </a:xfrm>
                      <a:prstGeom prst="rect">
                        <a:avLst/>
                      </a:prstGeom>
                      <a:noFill/>
                      <a:ln w="6350" cap="flat" cmpd="sng">
                        <a:noFill/>
                        <a:prstDash val="solid"/>
                        <a:round/>
                      </a:ln>
                    </wps:spPr>
                    <wps:txbx>
                      <w:txbxContent>
                        <w:p w14:paraId="6134FAC1">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qosni9UAAAAD&#10;AQAADwAAAGRycy9kb3ducmV2LnhtbE2PQUvEMBCF74L/IYzgZXGTFhGpne5BUUH0YF0Eb9lmtinb&#10;TGqTbVd/vVkvehl4vMd735Srg+vFRGPoPCNkSwWCuPGm4xZh/XZ/cQ0iRM1G954J4YsCrKrTk1IX&#10;xs/8SlMdW5FKOBQawcY4FFKGxpLTYekH4uRt/eh0THJspRn1nMpdL3OlrqTTHacFqwe6tdTs6r1D&#10;eL57+Hhf2CeVv3wvtn6u19Pn4w7x/CxTNyAiHeJfGI74CR2qxLTxezZB9Ajpkfh7j152CWKDkGcK&#10;ZFXK/+zVD1BLAwQUAAAACACHTuJA3VQ+8AMCAADzAwAADgAAAGRycy9lMm9Eb2MueG1srVNLjhMx&#10;EN0jcQfLe9L5MBmmlc4IEQ1CQjDSwAEctzttyT9VOekOB4AbsGLDnnPlHJTd+YyGzSzYdD/b5Vf1&#10;XpUXt701bKcAtXcVn4zGnCknfa3dpuJfv9y9esMZRuFqYbxTFd8r5LfLly8WXSjV1Lfe1AoYkTgs&#10;u1DxNsZQFgXKVlmBIx+Uo8PGgxWRlrApahAdsVtTTMfjedF5qAN4qRBpdzUc8iMjPIfQN42WauXl&#10;1ioXB1ZQRkSShK0OyJe52qZRMn5uGlSRmYqT0pi/lITwOn2L5UKUGxCh1fJYgnhOCU80WaEdJT1T&#10;rUQUbAv6HyqrJXj0TRxJb4tBSHaEVEzGT7x5aEVQWQtZjeFsOv4/Wvlpdw9M1xW/5swJSw0//Pxx&#10;+PXn8Ps7myV7uoAlRT2EeziukGDS2jdg059UsD5buj9bqvrIJG1eT+c3rzmTdDKZzSZXN4myuNwN&#10;gPG98pYlUHGghmUfxe4jxiH0FJJSOX+njaF9URrHuorPZ1fUSiloEBsaAII2kBh0m0zzKD7RrAS2&#10;bCdoFtAbXQ/dB7919ZDKOCouCR4kJhT7dU+HCa59vSez6O1Qpa2Hb5x1NDkVd/RQODMfHDUmDdkJ&#10;wAmsT0A4SRcrToUO8F0chnEbQG9a4h3nujG83UbSmi245D5WR7OQTTzObRq2x+scdXmry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iyeL1QAAAAMBAAAPAAAAAAAAAAEAIAAAACIAAABkcnMvZG93&#10;bnJldi54bWxQSwECFAAUAAAACACHTuJA3VQ+8AMCAADzAwAADgAAAAAAAAABACAAAAAkAQAAZHJz&#10;L2Uyb0RvYy54bWxQSwUGAAAAAAYABgBZAQAAmQUAAAAA&#10;">
              <v:fill on="f" focussize="0,0"/>
              <v:stroke on="f" weight="0.5pt" joinstyle="round"/>
              <v:imagedata o:title=""/>
              <o:lock v:ext="edit" aspectratio="f"/>
              <v:textbox inset="0mm,0mm,0mm,0mm" style="mso-fit-shape-to-text:t;">
                <w:txbxContent>
                  <w:p w14:paraId="6134FAC1">
                    <w:pPr>
                      <w:pStyle w:val="10"/>
                    </w:pPr>
                    <w:r>
                      <w:fldChar w:fldCharType="begin"/>
                    </w:r>
                    <w:r>
                      <w:instrText xml:space="preserve"> PAGE  \* MERGEFORMAT </w:instrText>
                    </w:r>
                    <w:r>
                      <w:fldChar w:fldCharType="separate"/>
                    </w:r>
                    <w:r>
                      <w:t>1</w:t>
                    </w:r>
                    <w:r>
                      <w:fldChar w:fldCharType="end"/>
                    </w:r>
                  </w:p>
                </w:txbxContent>
              </v:textbox>
            </v:rect>
          </w:pict>
        </mc:Fallback>
      </mc:AlternateContent>
    </w: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-9926955</wp:posOffset>
              </wp:positionV>
              <wp:extent cx="9525" cy="133350"/>
              <wp:effectExtent l="0" t="0" r="0" b="0"/>
              <wp:wrapNone/>
              <wp:docPr id="10" name="矩形 4"/>
              <wp:cNvGraphicFramePr/>
              <a:graphic xmlns:a="http://schemas.openxmlformats.org/drawingml/2006/main">
                <a:graphicData uri="http://schemas.microsoft.com/office/word/2010/wordprocessingShape">
                  <wps:wsp>
                    <wps:cNvSpPr/>
                    <wps:spPr>
                      <a:xfrm>
                        <a:off x="0" y="0"/>
                        <a:ext cx="9524" cy="133159"/>
                      </a:xfrm>
                      <a:prstGeom prst="rect">
                        <a:avLst/>
                      </a:prstGeom>
                      <a:noFill/>
                      <a:ln w="6350" cap="flat" cmpd="sng">
                        <a:noFill/>
                        <a:prstDash val="solid"/>
                        <a:round/>
                      </a:ln>
                    </wps:spPr>
                    <wps:txbx>
                      <w:txbxContent>
                        <w:p w14:paraId="05689327">
                          <w:pPr>
                            <w:pStyle w:val="10"/>
                            <w:tabs>
                              <w:tab w:val="right" w:pos="8307"/>
                              <w:tab w:val="clear" w:pos="8306"/>
                            </w:tabs>
                          </w:pPr>
                        </w:p>
                      </w:txbxContent>
                    </wps:txbx>
                    <wps:bodyPr vert="horz" wrap="none" lIns="0" tIns="0" rIns="0" bIns="0" anchor="t" anchorCtr="0" upright="1">
                      <a:spAutoFit/>
                    </wps:bodyPr>
                  </wps:wsp>
                </a:graphicData>
              </a:graphic>
            </wp:anchor>
          </w:drawing>
        </mc:Choice>
        <mc:Fallback>
          <w:pict>
            <v:rect id="矩形 4" o:spid="_x0000_s1026" o:spt="1" style="position:absolute;left:0pt;margin-top:-781.65pt;height:10.5pt;width:0.75pt;mso-position-horizontal:center;mso-position-horizontal-relative:margin;mso-wrap-style:none;z-index:251659264;mso-width-relative:page;mso-height-relative:page;" filled="f" stroked="f" coordsize="21600,21600" o:gfxdata="UEsDBAoAAAAAAIdO4kAAAAAAAAAAAAAAAAAEAAAAZHJzL1BLAwQUAAAACACHTuJAb9XYetwAAAAK&#10;AQAADwAAAGRycy9kb3ducmV2LnhtbE2PwU7DMBBE70j8g7VIXKrWTkIrFOL0AAIkBAdChcTNjbdx&#10;1HgdYjcpfD0uFzjOzmj2TbE+2o6NOPjWkYRkIYAh1U631EjYvN3Pr4H5oEirzhFK+EIP6/L8rFC5&#10;dhO94liFhsUS8rmSYELoc859bdAqv3A9UvR2brAqRDk0XA9qiuW246kQK25VS/GDUT3eGqz31cFK&#10;eL57+HifmSeRvnzPdm6qNuPn417Ky4tE3AALeAx/YTjhR3QoI9PWHUh71kmIQ4KEebJcZRmwU2AJ&#10;bPt7uUoz4GXB/08ofwBQSwMEFAAAAAgAh07iQCB7qtT/AQAA8AMAAA4AAABkcnMvZTJvRG9jLnht&#10;bK1TS27bMBDdF+gdCO5r+RMHjWA5KGqkKFC0AdIegKYoiwB/mKEtuZcp0F0P0eMUvUaGlGwH6SaL&#10;bqRHcvhm3pvh6ra3hh0UoPau4rPJlDPlpK+121X829e7N285wyhcLYx3quJHhfx2/frVqgulmvvW&#10;m1oBIxKHZRcq3sYYyqJA2SorcOKDcnTYeLAi0hJ2RQ2iI3Zrivl0el10HuoAXipE2t0Mh3xkhJcQ&#10;+qbRUm283Fvl4sAKyohIkrDVAfk6V9s0SsYvTYMqMlNxUhrzl5IQ3qZvsV6JcgcitFqOJYiXlPBM&#10;kxXaUdIz1UZEwfag/6GyWoJH38SJ9LYYhGRHSMVs+sybh1YElbWQ1RjOpuP/o5WfD/fAdE2TQJY4&#10;Yanjf3/8+vP7J7tK5nQBS4p5CPcwrpBgUto3YNOfNLA+G3o8G6r6yCRt3iznV5xJOpgtFrPlTWIs&#10;LlcDYPygvGUJVByoW9lEcfiEcQg9haRMzt9pY2hflMaxruLXiyUVLQVNYUPdJ2gDKUG3yzRP4hPN&#10;RmDLDoIGAb3R9dB68HtXD6mMo+KS3kFhQrHf9nSY4NbXR3KKHg5V2nr4zllHY1NxR6+EM/PRUVfS&#10;hJ0AnMD2BISTdLHiVOgA38dhEvcB9K4l3lmuG8O7fSSt2YJL7rE6GoRs4ji0adKernPU5aGuH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1dh63AAAAAoBAAAPAAAAAAAAAAEAIAAAACIAAABkcnMv&#10;ZG93bnJldi54bWxQSwECFAAUAAAACACHTuJAIHuq1P8BAADwAwAADgAAAAAAAAABACAAAAArAQAA&#10;ZHJzL2Uyb0RvYy54bWxQSwUGAAAAAAYABgBZAQAAnAUAAAAA&#10;">
              <v:fill on="f" focussize="0,0"/>
              <v:stroke on="f" weight="0.5pt" joinstyle="round"/>
              <v:imagedata o:title=""/>
              <o:lock v:ext="edit" aspectratio="f"/>
              <v:textbox inset="0mm,0mm,0mm,0mm" style="mso-fit-shape-to-text:t;">
                <w:txbxContent>
                  <w:p w14:paraId="05689327">
                    <w:pPr>
                      <w:pStyle w:val="10"/>
                      <w:tabs>
                        <w:tab w:val="right" w:pos="8307"/>
                        <w:tab w:val="clear" w:pos="8306"/>
                      </w:tabs>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E811">
    <w:pPr>
      <w:pStyle w:val="10"/>
      <w:tabs>
        <w:tab w:val="right" w:pos="8307"/>
        <w:tab w:val="clear" w:pos="8306"/>
      </w:tabs>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3" name="文本框 4"/>
              <wp:cNvGraphicFramePr/>
              <a:graphic xmlns:a="http://schemas.openxmlformats.org/drawingml/2006/main">
                <a:graphicData uri="http://schemas.microsoft.com/office/word/2010/wordprocessingShape">
                  <wps:wsp>
                    <wps:cNvSpPr/>
                    <wps:spPr>
                      <a:xfrm>
                        <a:off x="0" y="0"/>
                        <a:ext cx="72694" cy="133159"/>
                      </a:xfrm>
                      <a:prstGeom prst="rect">
                        <a:avLst/>
                      </a:prstGeom>
                      <a:noFill/>
                      <a:ln w="6350" cap="flat" cmpd="sng">
                        <a:noFill/>
                        <a:prstDash val="solid"/>
                        <a:round/>
                      </a:ln>
                    </wps:spPr>
                    <wps:txbx>
                      <w:txbxContent>
                        <w:p w14:paraId="64B7E905">
                          <w:pPr>
                            <w:pStyle w:val="10"/>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qosni9UAAAAD&#10;AQAADwAAAGRycy9kb3ducmV2LnhtbE2PQUvEMBCF74L/IYzgZXGTFhGpne5BUUH0YF0Eb9lmtinb&#10;TGqTbVd/vVkvehl4vMd735Srg+vFRGPoPCNkSwWCuPGm4xZh/XZ/cQ0iRM1G954J4YsCrKrTk1IX&#10;xs/8SlMdW5FKOBQawcY4FFKGxpLTYekH4uRt/eh0THJspRn1nMpdL3OlrqTTHacFqwe6tdTs6r1D&#10;eL57+Hhf2CeVv3wvtn6u19Pn4w7x/CxTNyAiHeJfGI74CR2qxLTxezZB9Ajpkfh7j152CWKDkGcK&#10;ZFXK/+zVD1BLAwQUAAAACACHTuJAS6aXTgQCAAD0AwAADgAAAGRycy9lMm9Eb2MueG1srVNLjhMx&#10;EN0jcQfLe9L5zASmlc4IEQ1CQjDSwAEctzttyT9VOekOB4AbsGLDnnPlHJTd+YyGzSzYdJft8qt6&#10;r54Xt701bKcAtXcVn4zGnCknfa3dpuJfv9y9esMZRuFqYbxTFd8r5LfLly8WXSjV1Lfe1AoYgTgs&#10;u1DxNsZQFgXKVlmBIx+Uo8PGgxWRlrApahAdoVtTTMfjedF5qAN4qRBpdzUc8iMiPAfQN42WauXl&#10;1ioXB1RQRkSihK0OyJe526ZRMn5uGlSRmYoT05i/VITidfoWy4UoNyBCq+WxBfGcFp5wskI7KnqG&#10;Woko2Bb0P1BWS/DomziS3hYDkawIsZiMn2jz0IqgMheSGsNZdPx/sPLT7h6YrskJM86csDTxw88f&#10;h19/Dr+/s6ukTxewpLSHcA/HFVKYyPYN2PQnGqzPmu7Pmqo+Mkmbr6fzmyvOJJ1MZrPJ9U2CLC53&#10;A2B8r7xlKag40MSykGL3EeOQekpJpZy/08bQviiNY13F57NrmqUU5MSGHEChDcQG3SbDPMpPMCuB&#10;LdsJMgN6o+th/OC3rh5KGUfNJcIDxRTFft3TYQrXvt6TWvR4qNPWwzfOOrJOxR29FM7MB0eTSS47&#10;BXAK1qdAOEkXK06NDuG7OLhxG0BvWsId574xvN1G4poluNQ+dkdmyCIejZvc9nidsy6Pdf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sni9UAAAADAQAADwAAAAAAAAABACAAAAAiAAAAZHJzL2Rv&#10;d25yZXYueG1sUEsBAhQAFAAAAAgAh07iQEuml04EAgAA9AMAAA4AAAAAAAAAAQAgAAAAJAEAAGRy&#10;cy9lMm9Eb2MueG1sUEsFBgAAAAAGAAYAWQEAAJoFAAAAAA==&#10;">
              <v:fill on="f" focussize="0,0"/>
              <v:stroke on="f" weight="0.5pt" joinstyle="round"/>
              <v:imagedata o:title=""/>
              <o:lock v:ext="edit" aspectratio="f"/>
              <v:textbox inset="0mm,0mm,0mm,0mm" style="mso-fit-shape-to-text:t;">
                <w:txbxContent>
                  <w:p w14:paraId="64B7E905">
                    <w:pPr>
                      <w:pStyle w:val="10"/>
                    </w:pPr>
                    <w:r>
                      <w:fldChar w:fldCharType="begin"/>
                    </w:r>
                    <w:r>
                      <w:instrText xml:space="preserve"> PAGE  \* MERGEFORMAT </w:instrText>
                    </w:r>
                    <w:r>
                      <w:fldChar w:fldCharType="separate"/>
                    </w:r>
                    <w:r>
                      <w:t>8</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FD8F">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45415" cy="133350"/>
              <wp:effectExtent l="0" t="0" r="0" b="0"/>
              <wp:wrapNone/>
              <wp:docPr id="19" name="文本框 5"/>
              <wp:cNvGraphicFramePr/>
              <a:graphic xmlns:a="http://schemas.openxmlformats.org/drawingml/2006/main">
                <a:graphicData uri="http://schemas.microsoft.com/office/word/2010/wordprocessingShape">
                  <wps:wsp>
                    <wps:cNvSpPr/>
                    <wps:spPr>
                      <a:xfrm>
                        <a:off x="0" y="0"/>
                        <a:ext cx="145389" cy="133159"/>
                      </a:xfrm>
                      <a:prstGeom prst="rect">
                        <a:avLst/>
                      </a:prstGeom>
                      <a:noFill/>
                      <a:ln w="6350" cap="flat" cmpd="sng">
                        <a:noFill/>
                        <a:prstDash val="solid"/>
                        <a:round/>
                      </a:ln>
                    </wps:spPr>
                    <wps:txbx>
                      <w:txbxContent>
                        <w:p w14:paraId="20E5E8CF">
                          <w:pPr>
                            <w:pStyle w:val="10"/>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5pt;width:11.45pt;mso-position-horizontal:center;mso-position-horizontal-relative:margin;mso-wrap-style:none;z-index:251659264;mso-width-relative:page;mso-height-relative:page;" filled="f" stroked="f" coordsize="21600,21600" o:gfxdata="UEsDBAoAAAAAAIdO4kAAAAAAAAAAAAAAAAAEAAAAZHJzL1BLAwQUAAAACACHTuJAb0G+4dUAAAAD&#10;AQAADwAAAGRycy9kb3ducmV2LnhtbE2PMU/DMBCFdyT+g3VILBW1kwFBiNMBBEgIBkKFxObG1zhq&#10;fA6xmxR+PUcXWO7p9E7vfVeuDr4XE46xC6QhWyoQSE2wHbUa1m/3F1cgYjJkTR8INXxhhFV1elKa&#10;woaZXnGqUys4hGJhNLiUhkLK2Dj0Ji7DgMTeNozeJF7HVtrRzBzue5krdSm96YgbnBnw1mGzq/de&#10;w/Pdw8f7wj2p/OV7sQ1zvZ4+H3dan59l6gZEwkP6O4ZffEaHipk2YU82il4DP5KOk708vwaxYc0U&#10;yKqU/9mrH1BLAwQUAAAACACHTuJA+jn5OgUCAAD1AwAADgAAAGRycy9lMm9Eb2MueG1srVNLbtsw&#10;EN0X6B0I7mvZcR0kguWgqJGiQNEGSHsAmqIsAvxhhrbkHqC9QVfddN9z+RwZUv4EySaLbKQhOXwz&#10;783j/Ka3hm0VoPau4pPRmDPlpK+1W1f8x/fbd1ecYRSuFsY7VfGdQn6zePtm3oVSXfjWm1oBIxCH&#10;ZRcq3sYYyqJA2SorcOSDcnTYeLAi0hLWRQ2iI3Rriovx+LLoPNQBvFSItLscDvkBEV4C6JtGS7X0&#10;cmOViwMqKCMiUcJWB+SL3G3TKBm/NQ2qyEzFiWnMXypC8Sp9i8VclGsQodXy0IJ4SQtPOFmhHRU9&#10;QS1FFGwD+hmU1RI8+iaOpLfFQCQrQiwm4yfa3LciqMyFpMZwEh1fD1Z+3d4B0zU54ZozJyxNfP/n&#10;9/7v//2/X2yW9OkClpR2H+7gsEIKE9m+AZv+RIP1WdPdSVPVRyZpc/J+Nr0iaElHk+l0MrtOmMX5&#10;cgCMn5S3LAUVBxpZVlJsv2AcUo8pqZbzt9oY2helcayr+OV0RsOUgqzYkAUotIHooFtnmEf5CWYp&#10;sGVbQW5Ab3Q9zB/8xtVDKeOoucR44Jii2K96Okzhytc7koteD3XaevjJWUfeqbijp8KZ+exoNMlm&#10;xwCOweoYCCfpYsWp0SH8GAc7bgLodUu449w3hg+bSFyzBOfah+7IDVnEg3OT3R6vc9b5tS4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BvuHVAAAAAwEAAA8AAAAAAAAAAQAgAAAAIgAAAGRycy9k&#10;b3ducmV2LnhtbFBLAQIUABQAAAAIAIdO4kD6Ofk6BQIAAPUDAAAOAAAAAAAAAAEAIAAAACQBAABk&#10;cnMvZTJvRG9jLnhtbFBLBQYAAAAABgAGAFkBAACbBQAAAAA=&#10;">
              <v:fill on="f" focussize="0,0"/>
              <v:stroke on="f" weight="0.5pt" joinstyle="round"/>
              <v:imagedata o:title=""/>
              <o:lock v:ext="edit" aspectratio="f"/>
              <v:textbox inset="0mm,0mm,0mm,0mm" style="mso-fit-shape-to-text:t;">
                <w:txbxContent>
                  <w:p w14:paraId="20E5E8CF">
                    <w:pPr>
                      <w:pStyle w:val="10"/>
                    </w:pPr>
                    <w:r>
                      <w:fldChar w:fldCharType="begin"/>
                    </w:r>
                    <w:r>
                      <w:instrText xml:space="preserve"> PAGE  \* MERGEFORMAT </w:instrText>
                    </w:r>
                    <w:r>
                      <w:fldChar w:fldCharType="separate"/>
                    </w:r>
                    <w:r>
                      <w:t>14</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4FBC0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8">
    <w:name w:val="Default Paragraph Font"/>
    <w:uiPriority w:val="0"/>
  </w:style>
  <w:style w:type="table" w:default="1" w:styleId="17">
    <w:name w:val="Normal Table"/>
    <w:semiHidden/>
    <w:uiPriority w:val="0"/>
    <w:tblPr>
      <w:tblCellMar>
        <w:top w:w="0" w:type="dxa"/>
        <w:left w:w="108" w:type="dxa"/>
        <w:bottom w:w="0" w:type="dxa"/>
        <w:right w:w="108" w:type="dxa"/>
      </w:tblCellMar>
    </w:tblPr>
  </w:style>
  <w:style w:type="paragraph" w:styleId="5">
    <w:name w:val="Normal Indent"/>
    <w:basedOn w:val="1"/>
    <w:next w:val="1"/>
    <w:qFormat/>
    <w:uiPriority w:val="0"/>
    <w:rPr>
      <w:rFonts w:ascii="Calibri" w:hAnsi="Calibri" w:eastAsia="宋体" w:cs="Times New Roman"/>
    </w:rPr>
  </w:style>
  <w:style w:type="paragraph" w:styleId="6">
    <w:name w:val="Body Text"/>
    <w:basedOn w:val="1"/>
    <w:uiPriority w:val="0"/>
    <w:pPr>
      <w:widowControl w:val="0"/>
      <w:spacing w:after="120" w:afterAutospacing="0" w:line="600" w:lineRule="exact"/>
      <w:jc w:val="both"/>
    </w:pPr>
    <w:rPr>
      <w:rFonts w:ascii="Calibri" w:hAnsi="Calibri" w:eastAsia="宋体" w:cs="Arial"/>
      <w:kern w:val="2"/>
      <w:sz w:val="21"/>
      <w:szCs w:val="22"/>
      <w:lang w:val="en-US" w:eastAsia="zh-CN" w:bidi="ar-SA"/>
    </w:rPr>
  </w:style>
  <w:style w:type="paragraph" w:styleId="7">
    <w:name w:val="Body Text Indent"/>
    <w:basedOn w:val="1"/>
    <w:next w:val="5"/>
    <w:uiPriority w:val="0"/>
    <w:pPr>
      <w:spacing w:after="120"/>
      <w:ind w:left="200" w:leftChars="200"/>
    </w:pPr>
  </w:style>
  <w:style w:type="paragraph" w:styleId="8">
    <w:name w:val="Body Text Indent 2"/>
    <w:basedOn w:val="1"/>
    <w:uiPriority w:val="0"/>
    <w:pPr>
      <w:ind w:firstLine="600"/>
    </w:pPr>
    <w:rPr>
      <w:sz w:val="30"/>
      <w:szCs w:val="24"/>
    </w:rPr>
  </w:style>
  <w:style w:type="paragraph" w:styleId="9">
    <w:name w:val="Balloon Text"/>
    <w:basedOn w:val="1"/>
    <w:uiPriority w:val="0"/>
    <w:rPr>
      <w:rFonts w:ascii="Times New Roman" w:hAnsi="Times New Roman"/>
      <w:sz w:val="18"/>
      <w:szCs w:val="18"/>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index 51"/>
    <w:basedOn w:val="1"/>
    <w:next w:val="1"/>
    <w:uiPriority w:val="0"/>
    <w:pPr>
      <w:ind w:left="1680"/>
    </w:pPr>
  </w:style>
  <w:style w:type="paragraph" w:styleId="12">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HTML Preformatted"/>
    <w:basedOn w:val="1"/>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SA"/>
    </w:rPr>
  </w:style>
  <w:style w:type="paragraph" w:styleId="14">
    <w:name w:val="Normal (Web)"/>
    <w:basedOn w:val="1"/>
    <w:uiPriority w:val="0"/>
    <w:pPr>
      <w:widowControl w:val="0"/>
      <w:spacing w:line="312" w:lineRule="auto"/>
      <w:ind w:firstLine="200" w:firstLineChars="200"/>
      <w:jc w:val="both"/>
    </w:pPr>
    <w:rPr>
      <w:rFonts w:ascii="Times New Roman" w:hAnsi="Times New Roman" w:eastAsia="CESI仿宋-GB2312" w:cs="Arial"/>
      <w:bCs/>
      <w:kern w:val="2"/>
      <w:sz w:val="24"/>
      <w:szCs w:val="22"/>
      <w:lang w:val="en-US" w:eastAsia="zh-CN" w:bidi="ar-SA"/>
    </w:rPr>
  </w:style>
  <w:style w:type="paragraph" w:styleId="15">
    <w:name w:val="Title"/>
    <w:basedOn w:val="1"/>
    <w:next w:val="1"/>
    <w:uiPriority w:val="0"/>
    <w:pPr>
      <w:ind w:firstLine="0"/>
      <w:jc w:val="center"/>
      <w:outlineLvl w:val="0"/>
    </w:pPr>
    <w:rPr>
      <w:rFonts w:eastAsia="方正小标宋简体" w:cs="Times New Roman"/>
      <w:bCs/>
      <w:sz w:val="44"/>
      <w:szCs w:val="32"/>
    </w:rPr>
  </w:style>
  <w:style w:type="paragraph" w:styleId="16">
    <w:name w:val="Body Text First Indent 2"/>
    <w:basedOn w:val="7"/>
    <w:next w:val="1"/>
    <w:uiPriority w:val="0"/>
    <w:pPr>
      <w:spacing w:line="312" w:lineRule="auto"/>
      <w:ind w:firstLine="200" w:firstLineChars="200"/>
    </w:pPr>
    <w:rPr>
      <w:rFonts w:ascii="Times New Roman" w:hAnsi="Times New Roman" w:eastAsia="CESI仿宋-GB2312"/>
      <w:bCs/>
    </w:rPr>
  </w:style>
  <w:style w:type="character" w:styleId="19">
    <w:name w:val="Strong"/>
    <w:basedOn w:val="18"/>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6035</Words>
  <Characters>6077</Characters>
  <Lines>278</Lines>
  <Paragraphs>71</Paragraphs>
  <TotalTime>42</TotalTime>
  <ScaleCrop>false</ScaleCrop>
  <LinksUpToDate>false</LinksUpToDate>
  <CharactersWithSpaces>6142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2024-12-30T02:38:00Z</dcterms:created>
  <dc:creator>「IX」</dc:creator>
  <cp:lastModifiedBy>GS</cp:lastModifiedBy>
  <cp:lastPrinted>2025-06-16T03:24:00Z</cp:lastPrinted>
  <dcterms:modified xsi:type="dcterms:W3CDTF">2025-06-17T07:24:04Z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95DC18674B874B448060C0EBFA934079_13</vt:lpwstr>
  </property>
  <property fmtid="{D5CDD505-2E9C-101B-9397-08002B2CF9AE}" pid="4" name="KSOTemplateDocerSaveRecord">
    <vt:lpwstr>eyJoZGlkIjoiOWYzNjQwMTQ4NTVkZWRjMjBlOTk1MjFhOWM3NGE0NjMiLCJ1c2VySWQiOiIyOTU3MDI0ODgifQ==</vt:lpwstr>
  </property>
</Properties>
</file>